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D33D" w14:textId="77777777" w:rsidR="00FD4354" w:rsidRPr="00FD4354" w:rsidRDefault="00FD4354" w:rsidP="00FD4354">
      <w:pPr>
        <w:keepNext/>
        <w:keepLines/>
        <w:spacing w:after="480" w:line="240" w:lineRule="auto"/>
        <w:ind w:left="567"/>
        <w:jc w:val="center"/>
        <w:outlineLvl w:val="0"/>
        <w:rPr>
          <w:rFonts w:ascii="Times New Roman" w:eastAsia="Times New Roman" w:hAnsi="Times New Roman" w:cs="Times New Roman"/>
          <w:b/>
          <w:bCs/>
          <w:caps/>
          <w:color w:val="000000"/>
          <w:sz w:val="28"/>
          <w:szCs w:val="28"/>
        </w:rPr>
      </w:pPr>
      <w:bookmarkStart w:id="0" w:name="_Toc118367389"/>
      <w:bookmarkStart w:id="1" w:name="_Toc131715456"/>
      <w:r w:rsidRPr="00FD4354">
        <w:rPr>
          <w:rFonts w:ascii="Times New Roman" w:eastAsia="Times New Roman" w:hAnsi="Times New Roman" w:cs="Times New Roman"/>
          <w:b/>
          <w:bCs/>
          <w:caps/>
          <w:color w:val="000000"/>
          <w:sz w:val="28"/>
          <w:szCs w:val="28"/>
        </w:rPr>
        <w:t>„SEMMI KÜLÖNÖS? A BAKONY ÉKKÖVEI” TÁRSADALMI INNOVÁCIÓ ÉS HÁLÓZATOS EGYÜTTMŰKÖDÉS A VEB2023 PROGRAMBAN</w:t>
      </w:r>
      <w:bookmarkEnd w:id="0"/>
      <w:bookmarkEnd w:id="1"/>
    </w:p>
    <w:p w14:paraId="2041B2CA" w14:textId="77777777" w:rsidR="00FD4354" w:rsidRPr="00FD4354" w:rsidRDefault="00FD4354" w:rsidP="00FD4354">
      <w:pPr>
        <w:spacing w:before="120" w:after="120" w:line="288" w:lineRule="auto"/>
        <w:jc w:val="center"/>
        <w:rPr>
          <w:rFonts w:ascii="Times New Roman" w:eastAsia="Calibri" w:hAnsi="Times New Roman" w:cs="Times New Roman"/>
          <w:i/>
          <w:iCs/>
          <w:sz w:val="24"/>
          <w:lang w:eastAsia="hu-HU"/>
        </w:rPr>
      </w:pPr>
      <w:bookmarkStart w:id="2" w:name="_Toc118367390"/>
      <w:r w:rsidRPr="00FD4354">
        <w:rPr>
          <w:rFonts w:ascii="Times New Roman" w:eastAsia="Calibri" w:hAnsi="Times New Roman" w:cs="Times New Roman"/>
          <w:i/>
          <w:iCs/>
          <w:sz w:val="24"/>
          <w:vertAlign w:val="superscript"/>
          <w:lang w:eastAsia="hu-HU"/>
        </w:rPr>
        <w:t>1</w:t>
      </w:r>
      <w:r w:rsidRPr="00FD4354">
        <w:rPr>
          <w:rFonts w:ascii="Times New Roman" w:eastAsia="Calibri" w:hAnsi="Times New Roman" w:cs="Times New Roman"/>
          <w:i/>
          <w:iCs/>
          <w:sz w:val="24"/>
          <w:lang w:eastAsia="hu-HU"/>
        </w:rPr>
        <w:t>Lőrincz Katalin –</w:t>
      </w:r>
      <w:r w:rsidRPr="00FD4354">
        <w:rPr>
          <w:rFonts w:ascii="Times New Roman" w:eastAsia="Calibri" w:hAnsi="Times New Roman" w:cs="Times New Roman"/>
          <w:i/>
          <w:iCs/>
          <w:sz w:val="24"/>
          <w:vertAlign w:val="superscript"/>
          <w:lang w:eastAsia="hu-HU"/>
        </w:rPr>
        <w:t xml:space="preserve"> 2</w:t>
      </w:r>
      <w:r w:rsidRPr="00FD4354">
        <w:rPr>
          <w:rFonts w:ascii="Times New Roman" w:eastAsia="Calibri" w:hAnsi="Times New Roman" w:cs="Times New Roman"/>
          <w:i/>
          <w:iCs/>
          <w:sz w:val="24"/>
          <w:lang w:eastAsia="hu-HU"/>
        </w:rPr>
        <w:t xml:space="preserve">Szabó Mariann – </w:t>
      </w:r>
      <w:r w:rsidRPr="00FD4354">
        <w:rPr>
          <w:rFonts w:ascii="Times New Roman" w:eastAsia="Calibri" w:hAnsi="Times New Roman" w:cs="Times New Roman"/>
          <w:i/>
          <w:iCs/>
          <w:sz w:val="24"/>
          <w:vertAlign w:val="superscript"/>
          <w:lang w:eastAsia="hu-HU"/>
        </w:rPr>
        <w:t>3</w:t>
      </w:r>
      <w:r w:rsidRPr="00FD4354">
        <w:rPr>
          <w:rFonts w:ascii="Times New Roman" w:eastAsia="Calibri" w:hAnsi="Times New Roman" w:cs="Times New Roman"/>
          <w:i/>
          <w:iCs/>
          <w:sz w:val="24"/>
          <w:lang w:eastAsia="hu-HU"/>
        </w:rPr>
        <w:t>Agárdi Izabella</w:t>
      </w:r>
      <w:bookmarkEnd w:id="2"/>
    </w:p>
    <w:p w14:paraId="1374AAE1" w14:textId="77777777" w:rsidR="00FD4354" w:rsidRPr="00FD4354" w:rsidRDefault="00FD4354" w:rsidP="00FD4354">
      <w:pPr>
        <w:spacing w:before="120" w:after="120" w:line="240" w:lineRule="auto"/>
        <w:jc w:val="center"/>
        <w:rPr>
          <w:rFonts w:ascii="Times New Roman" w:eastAsia="Times New Roman" w:hAnsi="Times New Roman" w:cs="Times New Roman"/>
          <w:i/>
          <w:sz w:val="24"/>
          <w:szCs w:val="24"/>
        </w:rPr>
      </w:pPr>
      <w:r w:rsidRPr="00FD4354">
        <w:rPr>
          <w:rFonts w:ascii="Times New Roman" w:eastAsia="Times New Roman" w:hAnsi="Times New Roman" w:cs="Times New Roman"/>
          <w:i/>
          <w:sz w:val="24"/>
          <w:szCs w:val="24"/>
          <w:vertAlign w:val="superscript"/>
        </w:rPr>
        <w:t>1</w:t>
      </w:r>
      <w:r w:rsidRPr="00FD4354">
        <w:rPr>
          <w:rFonts w:ascii="Times New Roman" w:eastAsia="Times New Roman" w:hAnsi="Times New Roman" w:cs="Times New Roman"/>
          <w:i/>
          <w:sz w:val="24"/>
          <w:szCs w:val="24"/>
        </w:rPr>
        <w:t>egyetemi docens, Pannon Egyetem, Gazdaságtudományi Kar, Turizmus Intézeti Tanszék;</w:t>
      </w:r>
      <w:r w:rsidRPr="00FD4354">
        <w:rPr>
          <w:rFonts w:ascii="Times New Roman" w:eastAsia="Times New Roman" w:hAnsi="Times New Roman" w:cs="Times New Roman"/>
          <w:i/>
          <w:sz w:val="24"/>
          <w:szCs w:val="24"/>
        </w:rPr>
        <w:br/>
      </w:r>
      <w:hyperlink r:id="rId8" w:history="1">
        <w:r w:rsidRPr="00FD4354">
          <w:rPr>
            <w:rFonts w:ascii="Times New Roman" w:eastAsia="Times New Roman" w:hAnsi="Times New Roman" w:cs="Times New Roman"/>
            <w:i/>
            <w:sz w:val="24"/>
            <w:szCs w:val="24"/>
          </w:rPr>
          <w:t>lorincz.katalin@gtk.uni-pannon.hu</w:t>
        </w:r>
      </w:hyperlink>
    </w:p>
    <w:p w14:paraId="7DCC35C1" w14:textId="77777777" w:rsidR="00FD4354" w:rsidRPr="00FD4354" w:rsidRDefault="00FD4354" w:rsidP="00FD4354">
      <w:pPr>
        <w:spacing w:before="120" w:after="120" w:line="240" w:lineRule="auto"/>
        <w:jc w:val="center"/>
        <w:rPr>
          <w:rFonts w:ascii="Times New Roman" w:eastAsia="Times New Roman" w:hAnsi="Times New Roman" w:cs="Times New Roman"/>
          <w:b/>
          <w:i/>
          <w:sz w:val="24"/>
          <w:szCs w:val="24"/>
        </w:rPr>
      </w:pPr>
      <w:r w:rsidRPr="00FD4354">
        <w:rPr>
          <w:rFonts w:ascii="Times New Roman" w:eastAsia="Times New Roman" w:hAnsi="Times New Roman" w:cs="Times New Roman"/>
          <w:i/>
          <w:sz w:val="24"/>
          <w:szCs w:val="24"/>
          <w:vertAlign w:val="superscript"/>
        </w:rPr>
        <w:t>2</w:t>
      </w:r>
      <w:r w:rsidRPr="00FD4354">
        <w:rPr>
          <w:rFonts w:ascii="Times New Roman" w:eastAsia="Times New Roman" w:hAnsi="Times New Roman" w:cs="Times New Roman"/>
          <w:i/>
          <w:sz w:val="24"/>
          <w:szCs w:val="24"/>
        </w:rPr>
        <w:t>egyetemi adjunktus, Budapesti Műszaki és Gazdaságtudományi Egyetem, Környezetgazdaságtan és Fenntartható Fejlődés Tanszék, kutató, Felsőbbfokú Tanulmányok Intézete;</w:t>
      </w:r>
      <w:r w:rsidRPr="00FD4354">
        <w:rPr>
          <w:rFonts w:ascii="Times New Roman" w:eastAsia="Times New Roman" w:hAnsi="Times New Roman" w:cs="Times New Roman"/>
          <w:sz w:val="24"/>
          <w:szCs w:val="24"/>
        </w:rPr>
        <w:t xml:space="preserve"> </w:t>
      </w:r>
      <w:r w:rsidRPr="00FD4354">
        <w:rPr>
          <w:rFonts w:ascii="Times New Roman" w:eastAsia="Times New Roman" w:hAnsi="Times New Roman" w:cs="Times New Roman"/>
          <w:i/>
          <w:sz w:val="24"/>
          <w:szCs w:val="24"/>
        </w:rPr>
        <w:t>mariann.szabo@iask.hu</w:t>
      </w:r>
    </w:p>
    <w:p w14:paraId="1E3719E9" w14:textId="77777777" w:rsidR="00FD4354" w:rsidRPr="00FD4354" w:rsidRDefault="00FD4354" w:rsidP="00FD4354">
      <w:pPr>
        <w:spacing w:before="120" w:after="120" w:line="240" w:lineRule="auto"/>
        <w:jc w:val="center"/>
        <w:rPr>
          <w:rFonts w:ascii="Times New Roman" w:eastAsia="Times New Roman" w:hAnsi="Times New Roman" w:cs="Times New Roman"/>
          <w:i/>
          <w:sz w:val="24"/>
          <w:szCs w:val="24"/>
        </w:rPr>
      </w:pPr>
      <w:r w:rsidRPr="00FD4354">
        <w:rPr>
          <w:rFonts w:ascii="Times New Roman" w:eastAsia="Times New Roman" w:hAnsi="Times New Roman" w:cs="Times New Roman"/>
          <w:i/>
          <w:sz w:val="24"/>
          <w:szCs w:val="24"/>
          <w:vertAlign w:val="superscript"/>
        </w:rPr>
        <w:t>3</w:t>
      </w:r>
      <w:r w:rsidRPr="00FD4354">
        <w:rPr>
          <w:rFonts w:ascii="Times New Roman" w:eastAsia="Times New Roman" w:hAnsi="Times New Roman" w:cs="Times New Roman"/>
          <w:i/>
          <w:sz w:val="24"/>
          <w:szCs w:val="24"/>
        </w:rPr>
        <w:t>kutató, Felsőbbfokú Tanulmányok Intézete; izabella.agardi@iask.hu</w:t>
      </w:r>
    </w:p>
    <w:p w14:paraId="42E9CF98" w14:textId="77777777" w:rsidR="00FD4354" w:rsidRPr="00FD4354" w:rsidRDefault="00FD4354" w:rsidP="00FD4354">
      <w:pPr>
        <w:spacing w:before="120" w:after="480" w:line="240" w:lineRule="auto"/>
        <w:jc w:val="center"/>
        <w:rPr>
          <w:rFonts w:ascii="Times New Roman" w:eastAsia="Calibri" w:hAnsi="Times New Roman" w:cs="Times New Roman"/>
          <w:i/>
          <w:iCs/>
          <w:sz w:val="24"/>
          <w:szCs w:val="24"/>
        </w:rPr>
      </w:pPr>
      <w:r w:rsidRPr="00FD4354">
        <w:rPr>
          <w:rFonts w:ascii="Times New Roman" w:eastAsia="Calibri" w:hAnsi="Times New Roman" w:cs="Times New Roman"/>
          <w:i/>
          <w:iCs/>
          <w:sz w:val="24"/>
          <w:szCs w:val="24"/>
        </w:rPr>
        <w:t>DOI:</w:t>
      </w:r>
      <w:r w:rsidRPr="00FD4354">
        <w:rPr>
          <w:rFonts w:ascii="Times New Roman" w:eastAsia="Calibri" w:hAnsi="Times New Roman" w:cs="Times New Roman"/>
          <w:sz w:val="24"/>
        </w:rPr>
        <w:t xml:space="preserve"> </w:t>
      </w:r>
      <w:r w:rsidRPr="00FD4354">
        <w:rPr>
          <w:rFonts w:ascii="Times New Roman" w:eastAsia="Calibri" w:hAnsi="Times New Roman" w:cs="Times New Roman"/>
          <w:i/>
          <w:iCs/>
          <w:sz w:val="24"/>
          <w:szCs w:val="24"/>
        </w:rPr>
        <w:t>10.15170/TVT.2023.08.01.03</w:t>
      </w:r>
    </w:p>
    <w:p w14:paraId="1ECDCCCB" w14:textId="77777777" w:rsidR="00FD4354" w:rsidRPr="00FD4354" w:rsidRDefault="00FD4354" w:rsidP="00FD4354">
      <w:pPr>
        <w:spacing w:after="0" w:line="240" w:lineRule="auto"/>
        <w:jc w:val="both"/>
        <w:rPr>
          <w:rFonts w:ascii="Times New Roman" w:eastAsia="Calibri" w:hAnsi="Times New Roman" w:cs="Times New Roman"/>
          <w:b/>
          <w:bCs/>
          <w:sz w:val="20"/>
          <w:szCs w:val="24"/>
          <w:lang w:eastAsia="hu-HU"/>
        </w:rPr>
      </w:pPr>
    </w:p>
    <w:p w14:paraId="583641AA" w14:textId="77777777" w:rsidR="00FD4354" w:rsidRPr="00FD4354" w:rsidRDefault="00FD4354" w:rsidP="00FD4354">
      <w:pPr>
        <w:spacing w:after="120" w:line="240" w:lineRule="auto"/>
        <w:jc w:val="both"/>
        <w:rPr>
          <w:rFonts w:ascii="Times New Roman" w:eastAsia="Calibri" w:hAnsi="Times New Roman" w:cs="Times New Roman"/>
          <w:b/>
          <w:bCs/>
          <w:sz w:val="24"/>
          <w:szCs w:val="24"/>
          <w:lang w:eastAsia="hu-HU"/>
        </w:rPr>
      </w:pPr>
      <w:r w:rsidRPr="00FD4354">
        <w:rPr>
          <w:rFonts w:ascii="Times New Roman" w:eastAsia="Calibri" w:hAnsi="Times New Roman" w:cs="Times New Roman"/>
          <w:b/>
          <w:bCs/>
          <w:sz w:val="24"/>
          <w:szCs w:val="24"/>
          <w:lang w:eastAsia="hu-HU"/>
        </w:rPr>
        <w:t>Absztrakt</w:t>
      </w:r>
    </w:p>
    <w:p w14:paraId="34820042" w14:textId="77777777" w:rsidR="00FD4354" w:rsidRPr="00FD4354" w:rsidRDefault="00FD4354" w:rsidP="00FD4354">
      <w:pPr>
        <w:spacing w:after="0"/>
        <w:jc w:val="both"/>
        <w:rPr>
          <w:rFonts w:ascii="Times New Roman" w:eastAsia="Calibri" w:hAnsi="Times New Roman" w:cs="Times New Roman"/>
          <w:color w:val="000000"/>
          <w:sz w:val="24"/>
          <w:szCs w:val="24"/>
          <w:lang w:eastAsia="hu-HU"/>
        </w:rPr>
      </w:pPr>
      <w:r w:rsidRPr="00FD4354">
        <w:rPr>
          <w:rFonts w:ascii="Times New Roman" w:eastAsia="Calibri" w:hAnsi="Times New Roman" w:cs="Times New Roman"/>
          <w:color w:val="000000"/>
          <w:sz w:val="24"/>
          <w:szCs w:val="24"/>
          <w:lang w:eastAsia="hu-HU"/>
        </w:rPr>
        <w:t xml:space="preserve">Mi az az érték és erőforrás, mely a kelet-közép-európai falvakban vonzó a helyi lakosság és a látogatók számára? Hogyan válhatnak kis lélekszámú települések olyan közösségekké, amelyek képesek lépést tartani korunk hatalmas változásaival és kihívásaival, miközben megőrzik legértékesebb kulturális javaikat és közösségi kohéziójukat? A fenti kérdésekre keressük a választ a Bakonyban a társadalmi innovációt támogató, interdiszciplináris hálózatos gondolkodást erősítő projekt keretében. A széles spektrumban értelmezett kulturális értékeket feltáró munka a Veszprém-Balaton 2023 Európa Kulturális Fővárosa Program (VEB2023) részeként a kreatív térség gondolatát erősíti. </w:t>
      </w:r>
    </w:p>
    <w:p w14:paraId="7A50B439" w14:textId="77777777" w:rsidR="00FD4354" w:rsidRPr="00FD4354" w:rsidRDefault="00FD4354" w:rsidP="00FD4354">
      <w:pPr>
        <w:spacing w:after="120"/>
        <w:jc w:val="both"/>
        <w:rPr>
          <w:rFonts w:ascii="Times New Roman" w:eastAsia="Calibri" w:hAnsi="Times New Roman" w:cs="Times New Roman"/>
          <w:color w:val="000000"/>
          <w:sz w:val="24"/>
          <w:szCs w:val="24"/>
          <w:lang w:eastAsia="hu-HU"/>
        </w:rPr>
      </w:pPr>
      <w:r w:rsidRPr="00FD4354">
        <w:rPr>
          <w:rFonts w:ascii="Times New Roman" w:eastAsia="Calibri" w:hAnsi="Times New Roman" w:cs="Times New Roman"/>
          <w:sz w:val="24"/>
          <w:szCs w:val="24"/>
          <w:lang w:eastAsia="hu-HU"/>
        </w:rPr>
        <w:t xml:space="preserve">A Kraft program megvalósításában alkalmazott módszertanokon alapulva 2022-ben </w:t>
      </w:r>
      <w:r w:rsidRPr="00FD4354">
        <w:rPr>
          <w:rFonts w:ascii="Times New Roman" w:eastAsia="Calibri" w:hAnsi="Times New Roman" w:cs="Times New Roman"/>
          <w:color w:val="000000"/>
          <w:sz w:val="24"/>
          <w:szCs w:val="24"/>
          <w:lang w:eastAsia="hu-HU"/>
        </w:rPr>
        <w:t xml:space="preserve">Bakonynána, Borzavár, Jásd és Nagyesztergár endemikus, kulturális alapú fejlődési lehetőségeit vizsgáltuk. A kutatási eredmények gyakorlati példákkal alátámasztva a társadalmi innovációt, a fenntarthatóságot és a kreatív régiós törekvéseket mutatják be. A tanulmányban megfogalmazott fejlesztési javaslatok települési szinten, hálózatos megközelítésben közvetlenül segítik a VEB2023 projekt célkitűzéseit. </w:t>
      </w:r>
    </w:p>
    <w:p w14:paraId="051EDD28" w14:textId="77777777" w:rsidR="00FD4354" w:rsidRPr="00FD4354" w:rsidRDefault="00FD4354" w:rsidP="00FD4354">
      <w:pPr>
        <w:spacing w:after="480"/>
        <w:jc w:val="both"/>
        <w:rPr>
          <w:rFonts w:ascii="Times New Roman" w:eastAsia="Calibri" w:hAnsi="Times New Roman" w:cs="Times New Roman"/>
          <w:i/>
          <w:sz w:val="24"/>
          <w:szCs w:val="24"/>
          <w:lang w:eastAsia="hu-HU"/>
        </w:rPr>
      </w:pPr>
      <w:r w:rsidRPr="00FD4354">
        <w:rPr>
          <w:rFonts w:ascii="Times New Roman" w:eastAsia="Calibri" w:hAnsi="Times New Roman" w:cs="Times New Roman"/>
          <w:i/>
          <w:sz w:val="24"/>
          <w:szCs w:val="24"/>
          <w:lang w:eastAsia="hu-HU"/>
        </w:rPr>
        <w:t>Kulcsszavak: társadalmi innováció, kulturális javak, közösségi kohézió, VEB2023 EKF, helyi közösségek</w:t>
      </w:r>
    </w:p>
    <w:p w14:paraId="0C16F11F"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i/>
          <w:sz w:val="24"/>
          <w:szCs w:val="24"/>
          <w:lang w:eastAsia="hu-HU"/>
        </w:rPr>
      </w:pPr>
      <w:r w:rsidRPr="00FD4354">
        <w:rPr>
          <w:rFonts w:ascii="Times New Roman" w:eastAsia="Calibri" w:hAnsi="Times New Roman" w:cs="Times New Roman"/>
          <w:i/>
          <w:sz w:val="24"/>
          <w:szCs w:val="24"/>
          <w:lang w:eastAsia="hu-HU"/>
        </w:rPr>
        <w:t xml:space="preserve">Köszönetnyilvánítás: </w:t>
      </w:r>
      <w:r w:rsidRPr="00FD4354">
        <w:rPr>
          <w:rFonts w:ascii="Times New Roman" w:eastAsia="Times New Roman" w:hAnsi="Times New Roman" w:cs="Times New Roman"/>
          <w:i/>
          <w:sz w:val="24"/>
          <w:szCs w:val="24"/>
          <w:lang w:eastAsia="hu-HU"/>
        </w:rPr>
        <w:t>A kutatás a kőszegi Felsőbbfokú Tanulmányok Intézete támogatásával valósult meg.</w:t>
      </w:r>
    </w:p>
    <w:p w14:paraId="672CDE78" w14:textId="77777777" w:rsidR="00FD4354" w:rsidRPr="00FD4354" w:rsidRDefault="00FD4354" w:rsidP="00FD4354">
      <w:pPr>
        <w:spacing w:after="200" w:line="276" w:lineRule="auto"/>
        <w:rPr>
          <w:rFonts w:ascii="Times New Roman" w:eastAsia="Calibri" w:hAnsi="Times New Roman" w:cs="Times New Roman"/>
          <w:i/>
          <w:sz w:val="24"/>
          <w:szCs w:val="24"/>
          <w:lang w:eastAsia="hu-HU"/>
        </w:rPr>
      </w:pPr>
      <w:r w:rsidRPr="00FD4354">
        <w:rPr>
          <w:rFonts w:ascii="Times New Roman" w:eastAsia="Calibri" w:hAnsi="Times New Roman" w:cs="Times New Roman"/>
          <w:i/>
          <w:sz w:val="24"/>
          <w:szCs w:val="24"/>
          <w:lang w:eastAsia="hu-HU"/>
        </w:rPr>
        <w:br w:type="page"/>
      </w:r>
    </w:p>
    <w:p w14:paraId="3F5F81E1" w14:textId="77777777" w:rsidR="00FD4354" w:rsidRPr="00FD4354" w:rsidRDefault="00FD4354" w:rsidP="00FD4354">
      <w:pPr>
        <w:spacing w:after="480"/>
        <w:jc w:val="center"/>
        <w:rPr>
          <w:rFonts w:ascii="Times New Roman" w:eastAsia="Calibri" w:hAnsi="Times New Roman" w:cs="Times New Roman"/>
          <w:b/>
          <w:bCs/>
          <w:sz w:val="28"/>
          <w:szCs w:val="24"/>
          <w:lang w:val="en-GB" w:eastAsia="hu-HU"/>
        </w:rPr>
      </w:pPr>
      <w:r w:rsidRPr="00FD4354">
        <w:rPr>
          <w:rFonts w:ascii="Times New Roman" w:eastAsia="Calibri" w:hAnsi="Times New Roman" w:cs="Times New Roman"/>
          <w:b/>
          <w:bCs/>
          <w:sz w:val="28"/>
          <w:szCs w:val="24"/>
          <w:lang w:val="en-GB" w:eastAsia="hu-HU"/>
        </w:rPr>
        <w:lastRenderedPageBreak/>
        <w:t>NOTHING SPECIAL? A CUTTING-EDGE CO-CREATIVE REGIONAL DEVELOPMENT PROJECT IN HUNGARY’S BAKONY MOUNTAINS</w:t>
      </w:r>
    </w:p>
    <w:p w14:paraId="4E0657E0" w14:textId="77777777" w:rsidR="00FD4354" w:rsidRPr="00FD4354" w:rsidRDefault="00FD4354" w:rsidP="00FD4354">
      <w:pPr>
        <w:spacing w:after="120" w:line="240" w:lineRule="auto"/>
        <w:jc w:val="both"/>
        <w:rPr>
          <w:rFonts w:ascii="Times New Roman" w:eastAsia="Calibri" w:hAnsi="Times New Roman" w:cs="Times New Roman"/>
          <w:b/>
          <w:sz w:val="24"/>
          <w:szCs w:val="24"/>
          <w:lang w:val="en-GB" w:eastAsia="hu-HU"/>
        </w:rPr>
      </w:pPr>
      <w:r w:rsidRPr="00FD4354">
        <w:rPr>
          <w:rFonts w:ascii="Times New Roman" w:eastAsia="Calibri" w:hAnsi="Times New Roman" w:cs="Times New Roman"/>
          <w:b/>
          <w:sz w:val="24"/>
          <w:szCs w:val="24"/>
          <w:lang w:val="en-GB" w:eastAsia="hu-HU"/>
        </w:rPr>
        <w:t>Abstract</w:t>
      </w:r>
    </w:p>
    <w:p w14:paraId="6465FC9F" w14:textId="77777777" w:rsidR="00FD4354" w:rsidRPr="00FD4354" w:rsidRDefault="00FD4354" w:rsidP="00FD4354">
      <w:pPr>
        <w:spacing w:after="0"/>
        <w:jc w:val="both"/>
        <w:rPr>
          <w:rFonts w:ascii="Times New Roman" w:eastAsia="Calibri" w:hAnsi="Times New Roman" w:cs="Times New Roman"/>
          <w:sz w:val="24"/>
          <w:szCs w:val="24"/>
          <w:lang w:val="en-GB" w:eastAsia="hu-HU"/>
        </w:rPr>
      </w:pPr>
      <w:r w:rsidRPr="00FD4354">
        <w:rPr>
          <w:rFonts w:ascii="Times New Roman" w:eastAsia="Calibri" w:hAnsi="Times New Roman" w:cs="Times New Roman"/>
          <w:sz w:val="24"/>
          <w:szCs w:val="24"/>
          <w:lang w:val="en-GB" w:eastAsia="hu-HU"/>
        </w:rPr>
        <w:t xml:space="preserve">What is it about villages in East-Central Europe that makes them attractive for residents as well as visitors? How can they become communities that are able to keep up with the vast changes and challenges of our times whilst maintaining their best cultural assets and communal cohesion? These were the fundamental questions that drove our interest in conducting an interdisciplinary research project in the </w:t>
      </w:r>
      <w:proofErr w:type="spellStart"/>
      <w:r w:rsidRPr="00FD4354">
        <w:rPr>
          <w:rFonts w:ascii="Times New Roman" w:eastAsia="Calibri" w:hAnsi="Times New Roman" w:cs="Times New Roman"/>
          <w:sz w:val="24"/>
          <w:szCs w:val="24"/>
          <w:lang w:val="en-GB" w:eastAsia="hu-HU"/>
        </w:rPr>
        <w:t>Bakony</w:t>
      </w:r>
      <w:proofErr w:type="spellEnd"/>
      <w:r w:rsidRPr="00FD4354">
        <w:rPr>
          <w:rFonts w:ascii="Times New Roman" w:eastAsia="Calibri" w:hAnsi="Times New Roman" w:cs="Times New Roman"/>
          <w:sz w:val="24"/>
          <w:szCs w:val="24"/>
          <w:lang w:val="en-GB" w:eastAsia="hu-HU"/>
        </w:rPr>
        <w:t xml:space="preserve"> Mountains of Hungary, </w:t>
      </w:r>
      <w:proofErr w:type="gramStart"/>
      <w:r w:rsidRPr="00FD4354">
        <w:rPr>
          <w:rFonts w:ascii="Times New Roman" w:eastAsia="Calibri" w:hAnsi="Times New Roman" w:cs="Times New Roman"/>
          <w:sz w:val="24"/>
          <w:szCs w:val="24"/>
          <w:lang w:val="en-GB" w:eastAsia="hu-HU"/>
        </w:rPr>
        <w:t>financed</w:t>
      </w:r>
      <w:proofErr w:type="gramEnd"/>
      <w:r w:rsidRPr="00FD4354">
        <w:rPr>
          <w:rFonts w:ascii="Times New Roman" w:eastAsia="Calibri" w:hAnsi="Times New Roman" w:cs="Times New Roman"/>
          <w:sz w:val="24"/>
          <w:szCs w:val="24"/>
          <w:lang w:val="en-GB" w:eastAsia="hu-HU"/>
        </w:rPr>
        <w:t xml:space="preserve"> and supported by the </w:t>
      </w:r>
      <w:proofErr w:type="spellStart"/>
      <w:r w:rsidRPr="00FD4354">
        <w:rPr>
          <w:rFonts w:ascii="Times New Roman" w:eastAsia="Calibri" w:hAnsi="Times New Roman" w:cs="Times New Roman"/>
          <w:sz w:val="24"/>
          <w:szCs w:val="24"/>
          <w:lang w:val="en-GB" w:eastAsia="hu-HU"/>
        </w:rPr>
        <w:t>Veszprém</w:t>
      </w:r>
      <w:proofErr w:type="spellEnd"/>
      <w:r w:rsidRPr="00FD4354">
        <w:rPr>
          <w:rFonts w:ascii="Times New Roman" w:eastAsia="Calibri" w:hAnsi="Times New Roman" w:cs="Times New Roman"/>
          <w:sz w:val="24"/>
          <w:szCs w:val="24"/>
          <w:lang w:val="en-GB" w:eastAsia="hu-HU"/>
        </w:rPr>
        <w:t>-Balaton 2023 European Capital of Culture Programme.</w:t>
      </w:r>
    </w:p>
    <w:p w14:paraId="37994E35" w14:textId="77777777" w:rsidR="00FD4354" w:rsidRPr="00FD4354" w:rsidRDefault="00FD4354" w:rsidP="00FD4354">
      <w:pPr>
        <w:spacing w:after="0"/>
        <w:jc w:val="both"/>
        <w:rPr>
          <w:rFonts w:ascii="Times New Roman" w:eastAsia="Calibri" w:hAnsi="Times New Roman" w:cs="Times New Roman"/>
          <w:sz w:val="24"/>
          <w:szCs w:val="24"/>
          <w:lang w:val="en-GB" w:eastAsia="hu-HU"/>
        </w:rPr>
      </w:pPr>
      <w:r w:rsidRPr="00FD4354">
        <w:rPr>
          <w:rFonts w:ascii="Times New Roman" w:eastAsia="Calibri" w:hAnsi="Times New Roman" w:cs="Times New Roman"/>
          <w:sz w:val="24"/>
          <w:szCs w:val="24"/>
          <w:lang w:val="en-GB" w:eastAsia="hu-HU"/>
        </w:rPr>
        <w:t xml:space="preserve">Through the capitalization of those methodologies associated with the KRAFT (‘creative cities-sustainable regions’) program, the overall aim was to study four villages and their potential for endemic, culture-based development. As the four villages are geographically close to one another, with plenty of interaction and networks of cooperation. The research team aimed at uncovering patterns and dynamics of economic, social, </w:t>
      </w:r>
      <w:proofErr w:type="gramStart"/>
      <w:r w:rsidRPr="00FD4354">
        <w:rPr>
          <w:rFonts w:ascii="Times New Roman" w:eastAsia="Calibri" w:hAnsi="Times New Roman" w:cs="Times New Roman"/>
          <w:sz w:val="24"/>
          <w:szCs w:val="24"/>
          <w:lang w:val="en-GB" w:eastAsia="hu-HU"/>
        </w:rPr>
        <w:t>cultural</w:t>
      </w:r>
      <w:proofErr w:type="gramEnd"/>
      <w:r w:rsidRPr="00FD4354">
        <w:rPr>
          <w:rFonts w:ascii="Times New Roman" w:eastAsia="Calibri" w:hAnsi="Times New Roman" w:cs="Times New Roman"/>
          <w:sz w:val="24"/>
          <w:szCs w:val="24"/>
          <w:lang w:val="en-GB" w:eastAsia="hu-HU"/>
        </w:rPr>
        <w:t xml:space="preserve"> and environmental subsystems that have been influential in connecting these places and making them ‘a distinct region’ and highlighting these patterns. Furthermore, researchers and experts were also interested to discover and collect important cultural heritage elements –material and immaterial, </w:t>
      </w:r>
      <w:proofErr w:type="gramStart"/>
      <w:r w:rsidRPr="00FD4354">
        <w:rPr>
          <w:rFonts w:ascii="Times New Roman" w:eastAsia="Calibri" w:hAnsi="Times New Roman" w:cs="Times New Roman"/>
          <w:sz w:val="24"/>
          <w:szCs w:val="24"/>
          <w:lang w:val="en-GB" w:eastAsia="hu-HU"/>
        </w:rPr>
        <w:t>natural</w:t>
      </w:r>
      <w:proofErr w:type="gramEnd"/>
      <w:r w:rsidRPr="00FD4354">
        <w:rPr>
          <w:rFonts w:ascii="Times New Roman" w:eastAsia="Calibri" w:hAnsi="Times New Roman" w:cs="Times New Roman"/>
          <w:sz w:val="24"/>
          <w:szCs w:val="24"/>
          <w:lang w:val="en-GB" w:eastAsia="hu-HU"/>
        </w:rPr>
        <w:t xml:space="preserve"> and human alike– that might serve as fertile grounds for economic, social, or development strategies, those that locals can relate to, find familiar and those that resonate with their communities and cultural narratives.</w:t>
      </w:r>
    </w:p>
    <w:p w14:paraId="0F5A170E" w14:textId="77777777" w:rsidR="00FD4354" w:rsidRPr="00FD4354" w:rsidRDefault="00FD4354" w:rsidP="00FD4354">
      <w:pPr>
        <w:jc w:val="both"/>
        <w:rPr>
          <w:rFonts w:ascii="Times New Roman" w:eastAsia="Calibri" w:hAnsi="Times New Roman" w:cs="Times New Roman"/>
          <w:sz w:val="24"/>
          <w:szCs w:val="24"/>
          <w:lang w:val="en-GB" w:eastAsia="hu-HU"/>
        </w:rPr>
      </w:pPr>
      <w:r w:rsidRPr="00FD4354">
        <w:rPr>
          <w:rFonts w:ascii="Times New Roman" w:eastAsia="Calibri" w:hAnsi="Times New Roman" w:cs="Times New Roman"/>
          <w:sz w:val="24"/>
          <w:szCs w:val="24"/>
          <w:lang w:val="en-GB" w:eastAsia="hu-HU"/>
        </w:rPr>
        <w:t xml:space="preserve">The proposed study will describe and analyse this piece of fieldwork, which was conducted in interdisciplinary teams, combining desktop research, a set of empirical methods, a diverse array of academic, </w:t>
      </w:r>
      <w:proofErr w:type="gramStart"/>
      <w:r w:rsidRPr="00FD4354">
        <w:rPr>
          <w:rFonts w:ascii="Times New Roman" w:eastAsia="Calibri" w:hAnsi="Times New Roman" w:cs="Times New Roman"/>
          <w:sz w:val="24"/>
          <w:szCs w:val="24"/>
          <w:lang w:val="en-GB" w:eastAsia="hu-HU"/>
        </w:rPr>
        <w:t>artistic</w:t>
      </w:r>
      <w:proofErr w:type="gramEnd"/>
      <w:r w:rsidRPr="00FD4354">
        <w:rPr>
          <w:rFonts w:ascii="Times New Roman" w:eastAsia="Calibri" w:hAnsi="Times New Roman" w:cs="Times New Roman"/>
          <w:sz w:val="24"/>
          <w:szCs w:val="24"/>
          <w:lang w:val="en-GB" w:eastAsia="hu-HU"/>
        </w:rPr>
        <w:t xml:space="preserve"> and practical competencies, and creative ways of cooperation with locals.</w:t>
      </w:r>
    </w:p>
    <w:p w14:paraId="0E3338B9" w14:textId="77777777" w:rsidR="00FD4354" w:rsidRPr="00FD4354" w:rsidRDefault="00FD4354" w:rsidP="00FD4354">
      <w:pPr>
        <w:spacing w:after="480"/>
        <w:jc w:val="both"/>
        <w:rPr>
          <w:rFonts w:ascii="Times New Roman" w:eastAsia="Calibri" w:hAnsi="Times New Roman" w:cs="Times New Roman"/>
          <w:i/>
          <w:sz w:val="24"/>
          <w:szCs w:val="24"/>
          <w:lang w:val="en-GB" w:eastAsia="hu-HU"/>
        </w:rPr>
      </w:pPr>
      <w:r w:rsidRPr="00FD4354">
        <w:rPr>
          <w:rFonts w:ascii="Times New Roman" w:eastAsia="Calibri" w:hAnsi="Times New Roman" w:cs="Times New Roman"/>
          <w:i/>
          <w:sz w:val="24"/>
          <w:szCs w:val="24"/>
          <w:lang w:val="en-GB" w:eastAsia="hu-HU"/>
        </w:rPr>
        <w:t xml:space="preserve">Keywords: social innovation, cultural assets, communal cohesion, VEB2023 </w:t>
      </w:r>
      <w:proofErr w:type="spellStart"/>
      <w:r w:rsidRPr="00FD4354">
        <w:rPr>
          <w:rFonts w:ascii="Times New Roman" w:eastAsia="Calibri" w:hAnsi="Times New Roman" w:cs="Times New Roman"/>
          <w:i/>
          <w:sz w:val="24"/>
          <w:szCs w:val="24"/>
          <w:lang w:val="en-GB" w:eastAsia="hu-HU"/>
        </w:rPr>
        <w:t>ECoC</w:t>
      </w:r>
      <w:proofErr w:type="spellEnd"/>
      <w:r w:rsidRPr="00FD4354">
        <w:rPr>
          <w:rFonts w:ascii="Times New Roman" w:eastAsia="Calibri" w:hAnsi="Times New Roman" w:cs="Times New Roman"/>
          <w:i/>
          <w:sz w:val="24"/>
          <w:szCs w:val="24"/>
          <w:lang w:val="en-GB" w:eastAsia="hu-HU"/>
        </w:rPr>
        <w:t>, local communities</w:t>
      </w:r>
    </w:p>
    <w:p w14:paraId="5E13D35E" w14:textId="77777777" w:rsidR="00FD4354" w:rsidRPr="00FD4354" w:rsidRDefault="00FD4354" w:rsidP="00FD4354">
      <w:pPr>
        <w:spacing w:after="480"/>
        <w:jc w:val="both"/>
        <w:rPr>
          <w:rFonts w:ascii="Times New Roman" w:eastAsia="Calibri" w:hAnsi="Times New Roman" w:cs="Times New Roman"/>
          <w:i/>
          <w:sz w:val="24"/>
          <w:szCs w:val="24"/>
          <w:lang w:val="en-GB" w:eastAsia="hu-HU"/>
        </w:rPr>
      </w:pPr>
      <w:r w:rsidRPr="00FD4354">
        <w:rPr>
          <w:rFonts w:ascii="Times New Roman" w:eastAsia="Calibri" w:hAnsi="Times New Roman" w:cs="Times New Roman"/>
          <w:i/>
          <w:sz w:val="24"/>
          <w:szCs w:val="24"/>
          <w:lang w:val="en-GB" w:eastAsia="hu-HU"/>
        </w:rPr>
        <w:t xml:space="preserve">Acknowledgements: The research was supported by the Institute of Advanced Studies, </w:t>
      </w:r>
      <w:proofErr w:type="spellStart"/>
      <w:r w:rsidRPr="00FD4354">
        <w:rPr>
          <w:rFonts w:ascii="Times New Roman" w:eastAsia="Calibri" w:hAnsi="Times New Roman" w:cs="Times New Roman"/>
          <w:i/>
          <w:sz w:val="24"/>
          <w:szCs w:val="24"/>
          <w:lang w:val="en-GB" w:eastAsia="hu-HU"/>
        </w:rPr>
        <w:t>Kőszeg</w:t>
      </w:r>
      <w:proofErr w:type="spellEnd"/>
      <w:r w:rsidRPr="00FD4354">
        <w:rPr>
          <w:rFonts w:ascii="Times New Roman" w:eastAsia="Calibri" w:hAnsi="Times New Roman" w:cs="Times New Roman"/>
          <w:i/>
          <w:sz w:val="24"/>
          <w:szCs w:val="24"/>
          <w:lang w:val="en-GB" w:eastAsia="hu-HU"/>
        </w:rPr>
        <w:t>.</w:t>
      </w:r>
    </w:p>
    <w:p w14:paraId="39A0A5E6" w14:textId="77777777" w:rsidR="00FD4354" w:rsidRPr="00FD4354" w:rsidRDefault="00FD4354" w:rsidP="00FD4354">
      <w:pPr>
        <w:rPr>
          <w:rFonts w:ascii="Times New Roman" w:eastAsia="Calibri" w:hAnsi="Times New Roman" w:cs="Times New Roman"/>
          <w:b/>
          <w:bCs/>
          <w:sz w:val="24"/>
          <w:szCs w:val="24"/>
        </w:rPr>
      </w:pPr>
      <w:r w:rsidRPr="00FD4354">
        <w:rPr>
          <w:rFonts w:ascii="Times New Roman" w:eastAsia="Calibri" w:hAnsi="Times New Roman" w:cs="Times New Roman"/>
          <w:b/>
          <w:bCs/>
          <w:sz w:val="24"/>
          <w:szCs w:val="24"/>
        </w:rPr>
        <w:br w:type="page"/>
      </w:r>
    </w:p>
    <w:p w14:paraId="63093FD8" w14:textId="77777777" w:rsidR="00FD4354" w:rsidRPr="00FD4354" w:rsidRDefault="00FD4354" w:rsidP="00FD4354">
      <w:pPr>
        <w:spacing w:after="120"/>
        <w:rPr>
          <w:rFonts w:ascii="Times New Roman" w:eastAsia="Calibri" w:hAnsi="Times New Roman" w:cs="Times New Roman"/>
          <w:b/>
          <w:bCs/>
          <w:sz w:val="24"/>
          <w:szCs w:val="24"/>
        </w:rPr>
      </w:pPr>
      <w:r w:rsidRPr="00FD4354">
        <w:rPr>
          <w:rFonts w:ascii="Times New Roman" w:eastAsia="Calibri" w:hAnsi="Times New Roman" w:cs="Times New Roman"/>
          <w:b/>
          <w:bCs/>
          <w:sz w:val="24"/>
          <w:szCs w:val="24"/>
        </w:rPr>
        <w:lastRenderedPageBreak/>
        <w:t>1. Bevezetés: A „Semmi különös? A Bakony Ékkövei” projekt háttere</w:t>
      </w:r>
    </w:p>
    <w:p w14:paraId="74E332C2" w14:textId="77777777" w:rsidR="00FD4354" w:rsidRPr="00FD4354" w:rsidRDefault="00FD4354" w:rsidP="00FD4354">
      <w:pPr>
        <w:shd w:val="clear" w:color="auto" w:fill="FFFFFF"/>
        <w:spacing w:after="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A kőszegi Felsőbbfokú Tanulmányok Intézete (FTI-iASK) vezetésével 2022 évelején indult el a Bakony-Balaton régió négy településén – így Bakonynánán, Borzaváron, Jásdon és Nagyesztergáron – megvalósuló „Semmi különös? A Bakony ékkövei” társadalmi innovációs projekt, amelynek alapját FTI-iASK ún. Kraft – „Kreatív város – fenntartható vidék” regionális fejlesztési koncepciója adja. Lényege, hogy a fejlesztések és beruházások sikerének kulcsa, ha egy adott térség gazdasági, önkormányzati és akadémiai valamint civil szereplői összefognak egymással és hatékonyan együttműködnek.</w:t>
      </w:r>
    </w:p>
    <w:p w14:paraId="4B1F2EE4" w14:textId="77777777" w:rsidR="00FD4354" w:rsidRPr="00FD4354" w:rsidRDefault="00FD4354" w:rsidP="00FD4354">
      <w:pPr>
        <w:shd w:val="clear" w:color="auto" w:fill="FFFFFF"/>
        <w:spacing w:after="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A projekt fő célkitűzése, hogy felhívja a figyelmet a települések értékeire, támogassa a helyi közösségeket a belső erőforrások megismertetésében, javítsa a települések közötti és a településen belüli kohéziót. Az (helyi) értékek kutatása, tudatosítása út lehet a társadalmi összefogásra a régebb óta itt élő lakosok és az új beköltözők között. A négy bakonyi település és környezetük értékeinek együttes fejlesztése a szolidaritás erősítését eredményezheti. A projekt alapját az ún. „közös alkotófolyamat” (angolul co-creation) képezi, amely során a fejlesztési javaslatokat a helyi lakosokkal közösen alakítják ki a szakértői csapatok.</w:t>
      </w:r>
    </w:p>
    <w:p w14:paraId="0656C8C2" w14:textId="77777777" w:rsidR="00FD4354" w:rsidRPr="00FD4354" w:rsidRDefault="00FD4354" w:rsidP="00FD4354">
      <w:pPr>
        <w:shd w:val="clear" w:color="auto" w:fill="FFFFFF"/>
        <w:spacing w:after="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kétfázisú projekt (I. fázis: terepmunka előkészítése, megvalósítása és fejlesztési javaslatok kidolgozása 2022 októberig; II. fázis: a települések közötti mélyebb együttműködés támogatása, eredmények disszeminációja) 2023 júniusig tart; magába foglalja a helyi lakosokkal, szervezetekkel és a térségi fejlesztő intézményekkel való szoros együttműködést, nyilvános zenei-közművelődési, kulturális programokat. A projekt fontos mérföldkövét jelentik az úgynevezett helyi érintett találkozók, ahol az FTI-iASK szakértői a helyi szereplőkkel családbarát (családbarát szemléletű és családbarát szolgáltatásokat nyújtó, a helyi társadalom összes szereplőjére vonatkozó) és hosszútávon is fenntartható programok kialakításán dolgoznak. </w:t>
      </w:r>
    </w:p>
    <w:p w14:paraId="4A606B7B" w14:textId="77777777" w:rsidR="00FD4354" w:rsidRPr="00FD4354" w:rsidRDefault="00FD4354" w:rsidP="00FD4354">
      <w:pPr>
        <w:shd w:val="clear" w:color="auto" w:fill="FFFFFF"/>
        <w:spacing w:after="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Bakony Ékkövei projektben kulcsszerepe van a humán tőkének, a hozzáértő, interdiszciplináris kutatásokra és fejlesztőmunkára nyitott közösségnek. A projekt első szakaszában a településekkel történő egyeztetések után nyílt pályázati felhívás útján választottuk ki a különböző hátterű és szakmából érkező kutató vagy fejlesztő szakértőket. Multinacionális vállalati környezetből érkező kommunikációs szakértőtől kezdve grafikus, településfejlesztő, kulturális antropológus, geográfus, geológus, botanikus kollégán át történészek, nyelvészek, turizmusfejlesztési szakértők is megtalálhatók köztük. </w:t>
      </w:r>
    </w:p>
    <w:p w14:paraId="70081F94" w14:textId="77777777" w:rsidR="00FD4354" w:rsidRPr="00FD4354" w:rsidRDefault="00FD4354" w:rsidP="00FD4354">
      <w:pPr>
        <w:shd w:val="clear" w:color="auto" w:fill="FFFFFF"/>
        <w:spacing w:after="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A projekt a VEB2023 „Közösségfejlesztés – Élhető város, élhető falu” tématerületéhez kapcsolódik. Olyan interdiszciplináris projekt, amelyben a vizsgálatok széles időhorizonton a helytörténetre, gasztronómiára, tánc- és népművészeti hagyományokra, a természeti- és épített környezetre, a környezetvédelemére és fenntartható fejlődésre, a társadalmi mobilitásra, helyi identitásra, sőt ezek kapcsolatára vonatkozik.</w:t>
      </w:r>
    </w:p>
    <w:p w14:paraId="02B05F10"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Jelen tanulmányban célunk konkrét példán keresztül bemutatni, hogy a közös alkotófolyamat mint társadalmi innovációs módozat hogyan segíti a hely-alapú stratégiai tervezést kisebb lélekszámú közösségeknél, amelyek </w:t>
      </w:r>
      <w:bookmarkStart w:id="3" w:name="_Hlk128225737"/>
      <w:r w:rsidRPr="00FD4354">
        <w:rPr>
          <w:rFonts w:ascii="Times New Roman" w:eastAsia="Times New Roman" w:hAnsi="Times New Roman" w:cs="Times New Roman"/>
          <w:sz w:val="24"/>
          <w:szCs w:val="24"/>
          <w:lang w:eastAsia="hu-HU"/>
        </w:rPr>
        <w:t>a népességmegtartással, illetve identitásuk megőrzésével küzdenek. A tanulmányban ezért a kutatás során alkalmazott módszerekre, alkalmazásuk során nyert tapasztalatokra helyezzük a hangsúlyt, bekapcsolódva a hazai fejlesztéspolitikai diskurzusba.</w:t>
      </w:r>
      <w:bookmarkEnd w:id="3"/>
    </w:p>
    <w:p w14:paraId="433BAAAD"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sz w:val="24"/>
          <w:szCs w:val="24"/>
          <w:lang w:eastAsia="hu-HU"/>
        </w:rPr>
      </w:pPr>
      <w:r w:rsidRPr="00FD4354">
        <w:rPr>
          <w:rFonts w:ascii="Times New Roman" w:eastAsia="Times New Roman" w:hAnsi="Times New Roman" w:cs="Times New Roman"/>
          <w:b/>
          <w:bCs/>
          <w:sz w:val="24"/>
          <w:szCs w:val="24"/>
          <w:lang w:eastAsia="hu-HU"/>
        </w:rPr>
        <w:t>2. Szakirodalmi áttekintés</w:t>
      </w:r>
    </w:p>
    <w:p w14:paraId="630F7BBA"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bCs/>
          <w:sz w:val="24"/>
          <w:szCs w:val="24"/>
          <w:lang w:eastAsia="hu-HU"/>
        </w:rPr>
      </w:pPr>
      <w:r w:rsidRPr="00FD4354">
        <w:rPr>
          <w:rFonts w:ascii="Times New Roman" w:eastAsia="Times New Roman" w:hAnsi="Times New Roman" w:cs="Times New Roman"/>
          <w:bCs/>
          <w:sz w:val="24"/>
          <w:szCs w:val="24"/>
          <w:lang w:eastAsia="hu-HU"/>
        </w:rPr>
        <w:t>Magyarországon a 2021-es Helységnévtár (Központi Statisztikai Hivatal Magyarország Helységnévtára</w:t>
      </w:r>
      <w:r w:rsidRPr="00FD4354">
        <w:rPr>
          <w:rFonts w:ascii="Times New Roman" w:eastAsia="Times New Roman" w:hAnsi="Times New Roman" w:cs="Times New Roman"/>
          <w:bCs/>
          <w:sz w:val="24"/>
          <w:szCs w:val="24"/>
          <w:vertAlign w:val="superscript"/>
          <w:lang w:eastAsia="hu-HU"/>
        </w:rPr>
        <w:footnoteReference w:id="1"/>
      </w:r>
      <w:r w:rsidRPr="00FD4354">
        <w:rPr>
          <w:rFonts w:ascii="Times New Roman" w:eastAsia="Times New Roman" w:hAnsi="Times New Roman" w:cs="Times New Roman"/>
          <w:bCs/>
          <w:sz w:val="24"/>
          <w:szCs w:val="24"/>
          <w:lang w:eastAsia="hu-HU"/>
        </w:rPr>
        <w:t xml:space="preserve">) adatai alapján Budapest fővárosra, 18 megyeszékhelyre, 5 megyei jogú városra, valamint a további 324 városra 2.807 nagyközség és község jut. Veszprém megyében a 15 város (a megyeszékhely Veszprémre, továbbá Ajka, Badacsonytomaj, Balatonalmádi, </w:t>
      </w:r>
      <w:r w:rsidRPr="00FD4354">
        <w:rPr>
          <w:rFonts w:ascii="Times New Roman" w:eastAsia="Times New Roman" w:hAnsi="Times New Roman" w:cs="Times New Roman"/>
          <w:bCs/>
          <w:sz w:val="24"/>
          <w:szCs w:val="24"/>
          <w:lang w:eastAsia="hu-HU"/>
        </w:rPr>
        <w:lastRenderedPageBreak/>
        <w:t xml:space="preserve">Balatonfüred, Balatonfűzfő, Balatonkenese, Berhida, Devecser, Herend, Pápa, Sümeg, Tapolca, Várpalota, Zirc városokra) mellett 202 nagyközség és község található, melyek domináns hányada </w:t>
      </w:r>
      <w:r w:rsidRPr="00FD4354">
        <w:rPr>
          <w:rFonts w:ascii="Times New Roman" w:eastAsia="Times New Roman" w:hAnsi="Times New Roman" w:cs="Times New Roman"/>
          <w:sz w:val="24"/>
          <w:szCs w:val="24"/>
          <w:lang w:eastAsia="hu-HU"/>
        </w:rPr>
        <w:t xml:space="preserve">– </w:t>
      </w:r>
      <w:r w:rsidRPr="00FD4354">
        <w:rPr>
          <w:rFonts w:ascii="Times New Roman" w:eastAsia="Times New Roman" w:hAnsi="Times New Roman" w:cs="Times New Roman"/>
          <w:bCs/>
          <w:sz w:val="24"/>
          <w:szCs w:val="24"/>
          <w:lang w:eastAsia="hu-HU"/>
        </w:rPr>
        <w:t xml:space="preserve">szám szerint 161 </w:t>
      </w:r>
      <w:r w:rsidRPr="00FD4354">
        <w:rPr>
          <w:rFonts w:ascii="Times New Roman" w:eastAsia="Times New Roman" w:hAnsi="Times New Roman" w:cs="Times New Roman"/>
          <w:sz w:val="24"/>
          <w:szCs w:val="24"/>
          <w:lang w:eastAsia="hu-HU"/>
        </w:rPr>
        <w:t xml:space="preserve">– </w:t>
      </w:r>
      <w:r w:rsidRPr="00FD4354">
        <w:rPr>
          <w:rFonts w:ascii="Times New Roman" w:eastAsia="Times New Roman" w:hAnsi="Times New Roman" w:cs="Times New Roman"/>
          <w:bCs/>
          <w:sz w:val="24"/>
          <w:szCs w:val="24"/>
          <w:lang w:eastAsia="hu-HU"/>
        </w:rPr>
        <w:t xml:space="preserve">az 1.000 fő alatti népességű települések csoportjába tartozik. A településszerkezeti adottságok figyelembevételével a hazai területfejlesztés kiemelt területe a város-vidék dichotómia vizsgálata, a városi és vidéki terek közötti kapcsolat erősítését célzó fejlesztési kérdések előtérbe helyezése (ENYEDI 1996, LÓRÁND 2009, PÉNZES 2012, HORECZKI 2022). </w:t>
      </w:r>
    </w:p>
    <w:p w14:paraId="640A66FC"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A város-vidék kapcsolatok fejlesztésének kulcsmozzanata, hogy a kisebb települések milyen módon őrizhetik meg szuverenitásukat, hagyományaikat és identitásukat, hiszen a hosszútávú alkalmazkodásban és népességmegtartó képességük javításában ezek kiemelt fontossággal bírnak. A válsághelyzetek különösen felértékelik a nem anyagi jellegű erőforrásokat, amelyek gyorsabban és hely-specifikusabb módon reagálnak a változó körülményekre, mint a központi intézmények. Egyes megközelítések a területi dimenziót a hagyományos társadalmi, gazdasági, környezeti és technológiai tőkeelemek közé emelik, hangsúlyozva, hogy előbbiek kombinációja sajátos alkalmazkodási környezetet teremt (</w:t>
      </w:r>
      <w:r w:rsidRPr="00FD4354">
        <w:rPr>
          <w:rFonts w:ascii="Times New Roman" w:eastAsia="Times New Roman" w:hAnsi="Times New Roman" w:cs="Times New Roman"/>
          <w:sz w:val="24"/>
          <w:szCs w:val="24"/>
          <w:lang w:eastAsia="hu-HU"/>
        </w:rPr>
        <w:t xml:space="preserve">CAMAGNI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sz w:val="24"/>
          <w:szCs w:val="24"/>
          <w:lang w:eastAsia="hu-HU"/>
        </w:rPr>
        <w:t xml:space="preserve"> CAPELLO 2012, </w:t>
      </w:r>
      <w:r w:rsidRPr="00FD4354">
        <w:rPr>
          <w:rFonts w:ascii="Times New Roman" w:eastAsia="Times New Roman" w:hAnsi="Times New Roman" w:cs="Times New Roman"/>
          <w:bCs/>
          <w:caps/>
          <w:sz w:val="24"/>
          <w:szCs w:val="24"/>
          <w:lang w:eastAsia="hu-HU"/>
        </w:rPr>
        <w:t xml:space="preserve">Berkesné, Birkner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bCs/>
          <w:caps/>
          <w:sz w:val="24"/>
          <w:szCs w:val="24"/>
          <w:lang w:eastAsia="hu-HU"/>
        </w:rPr>
        <w:t xml:space="preserve"> Ernszt 2018, </w:t>
      </w:r>
      <w:r w:rsidRPr="00FD4354">
        <w:rPr>
          <w:rFonts w:ascii="Times New Roman" w:eastAsia="Times New Roman" w:hAnsi="Times New Roman" w:cs="Times New Roman"/>
          <w:bCs/>
          <w:sz w:val="24"/>
          <w:szCs w:val="24"/>
          <w:lang w:eastAsia="hu-HU"/>
        </w:rPr>
        <w:t>HORECZKI 2022).</w:t>
      </w:r>
    </w:p>
    <w:p w14:paraId="7E1DB845"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CAMAGNI &amp; CAPELLO (2012) által leírt </w:t>
      </w:r>
      <w:r w:rsidRPr="00FD4354">
        <w:rPr>
          <w:rFonts w:ascii="Times New Roman" w:eastAsia="Times New Roman" w:hAnsi="Times New Roman" w:cs="Times New Roman"/>
          <w:i/>
          <w:sz w:val="24"/>
          <w:szCs w:val="24"/>
          <w:lang w:eastAsia="hu-HU"/>
        </w:rPr>
        <w:t>„területi tőke”</w:t>
      </w:r>
      <w:r w:rsidRPr="00FD4354">
        <w:rPr>
          <w:rFonts w:ascii="Times New Roman" w:eastAsia="Times New Roman" w:hAnsi="Times New Roman" w:cs="Times New Roman"/>
          <w:sz w:val="24"/>
          <w:szCs w:val="24"/>
          <w:lang w:eastAsia="hu-HU"/>
        </w:rPr>
        <w:t xml:space="preserve"> koncepció alapján a térségek fejlődési lehetőségeit a makrogazdasági összetevők és hatások éppúgy alakítják, mint a térség belső erőforrásai. A belső erőforrások fontos részét képezik a helyi értékek, adottságok, de a rendszerek mélyén gyökerező társadalmi erőforrások is. Az ún. hely-alapú stratégiai (’place-based strategies’) tervezés az endogén (belső) erőforrások jelentőségére figyelemmel, azokat továbbfejlesztve segíti elő a térségek hosszútávú kilátásainak javítását, amelyben a közösségek aktivitásának, a regionális intézményesülésnek döntő szerepe van (</w:t>
      </w:r>
      <w:r w:rsidRPr="00FD4354">
        <w:rPr>
          <w:rFonts w:ascii="Times New Roman" w:eastAsia="Times New Roman" w:hAnsi="Times New Roman" w:cs="Times New Roman"/>
          <w:caps/>
          <w:sz w:val="24"/>
          <w:szCs w:val="24"/>
          <w:lang w:eastAsia="hu-HU"/>
        </w:rPr>
        <w:t xml:space="preserve">Barca, McCann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caps/>
          <w:sz w:val="24"/>
          <w:szCs w:val="24"/>
          <w:lang w:eastAsia="hu-HU"/>
        </w:rPr>
        <w:t xml:space="preserve"> Rodríguez-Pose</w:t>
      </w:r>
      <w:r w:rsidRPr="00FD4354">
        <w:rPr>
          <w:rFonts w:ascii="Times New Roman" w:eastAsia="Times New Roman" w:hAnsi="Times New Roman" w:cs="Times New Roman"/>
          <w:sz w:val="24"/>
          <w:szCs w:val="24"/>
          <w:lang w:eastAsia="hu-HU"/>
        </w:rPr>
        <w:t xml:space="preserve"> 2012, </w:t>
      </w:r>
      <w:r w:rsidRPr="00FD4354">
        <w:rPr>
          <w:rFonts w:ascii="Times New Roman" w:eastAsia="Times New Roman" w:hAnsi="Times New Roman" w:cs="Times New Roman"/>
          <w:caps/>
          <w:sz w:val="24"/>
          <w:szCs w:val="24"/>
          <w:lang w:eastAsia="hu-HU"/>
        </w:rPr>
        <w:t xml:space="preserve">Bentley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caps/>
          <w:sz w:val="24"/>
          <w:szCs w:val="24"/>
          <w:lang w:eastAsia="hu-HU"/>
        </w:rPr>
        <w:t xml:space="preserve"> Pugalis </w:t>
      </w:r>
      <w:r w:rsidRPr="00FD4354">
        <w:rPr>
          <w:rFonts w:ascii="Times New Roman" w:eastAsia="Times New Roman" w:hAnsi="Times New Roman" w:cs="Times New Roman"/>
          <w:sz w:val="24"/>
          <w:szCs w:val="24"/>
          <w:lang w:eastAsia="hu-HU"/>
        </w:rPr>
        <w:t xml:space="preserve">2014, </w:t>
      </w:r>
      <w:r w:rsidRPr="00FD4354">
        <w:rPr>
          <w:rFonts w:ascii="Times New Roman" w:eastAsia="Times New Roman" w:hAnsi="Times New Roman" w:cs="Times New Roman"/>
          <w:caps/>
          <w:sz w:val="24"/>
          <w:szCs w:val="24"/>
          <w:lang w:eastAsia="hu-HU"/>
        </w:rPr>
        <w:t xml:space="preserve">Rodríguez-Pose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caps/>
          <w:sz w:val="24"/>
          <w:szCs w:val="24"/>
          <w:lang w:eastAsia="hu-HU"/>
        </w:rPr>
        <w:t xml:space="preserve"> Wilkie</w:t>
      </w:r>
      <w:r w:rsidRPr="00FD4354">
        <w:rPr>
          <w:rFonts w:ascii="Times New Roman" w:eastAsia="Times New Roman" w:hAnsi="Times New Roman" w:cs="Times New Roman"/>
          <w:sz w:val="24"/>
          <w:szCs w:val="24"/>
          <w:lang w:eastAsia="hu-HU"/>
        </w:rPr>
        <w:t xml:space="preserve"> 2017). </w:t>
      </w:r>
    </w:p>
    <w:p w14:paraId="55333064"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Megtévesztő lehet a hely-alapú stratégiai tervezés kifejezés olyan szempontból, hogy teljesítmény- és akcióorientált folyamatként értelmezzük annak ellenére, hogy ennél a fejlesztési formánál épp az „út megtételén” van a hangsúly: a kapacitásfejlesztésen, amely elvezet a különböző fejlesztési megoldások – önkéntes és részvételi-alapú – megvalósításához. A hely-alapú stratégiai gondolkozás oly módon kapcsolódik a társadalmi innovációhoz és a közös alkotófolyamathoz, hogy nem eredmény-, hanem folyamat-fókuszú. A közös alkotófolyamat a társadalmi innováció egyik módozata. A következő részben a fogalmat járjuk körül.  </w:t>
      </w:r>
    </w:p>
    <w:p w14:paraId="27D459F3"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A társadalmi innováció fogalmának széles irodalma van. Egyes meghatározások a humanisztikus, közösség-vezérelt folyamat jellegét hangsúlyozzák, így:</w:t>
      </w:r>
    </w:p>
    <w:p w14:paraId="188B8F27" w14:textId="77777777" w:rsidR="00FD4354" w:rsidRPr="00FD4354" w:rsidRDefault="00FD4354" w:rsidP="00FD4354">
      <w:pPr>
        <w:numPr>
          <w:ilvl w:val="0"/>
          <w:numId w:val="5"/>
        </w:num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 xml:space="preserve">Pol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caps/>
          <w:sz w:val="24"/>
          <w:szCs w:val="24"/>
          <w:lang w:eastAsia="hu-HU"/>
        </w:rPr>
        <w:t xml:space="preserve"> Ville</w:t>
      </w:r>
      <w:r w:rsidRPr="00FD4354">
        <w:rPr>
          <w:rFonts w:ascii="Times New Roman" w:eastAsia="Times New Roman" w:hAnsi="Times New Roman" w:cs="Times New Roman"/>
          <w:sz w:val="24"/>
          <w:szCs w:val="24"/>
          <w:lang w:eastAsia="hu-HU"/>
        </w:rPr>
        <w:t xml:space="preserve"> (2009) olyan ötletek és gyakorlatok körét tekinti társadalmi innovációnak, amelyek a </w:t>
      </w:r>
      <w:r w:rsidRPr="00FD4354">
        <w:rPr>
          <w:rFonts w:ascii="Times New Roman" w:eastAsia="Times New Roman" w:hAnsi="Times New Roman" w:cs="Times New Roman"/>
          <w:i/>
          <w:sz w:val="24"/>
          <w:szCs w:val="24"/>
          <w:lang w:eastAsia="hu-HU"/>
        </w:rPr>
        <w:t>közösség életminőségének javulását eredményezik</w:t>
      </w:r>
      <w:r w:rsidRPr="00FD4354">
        <w:rPr>
          <w:rFonts w:ascii="Times New Roman" w:eastAsia="Times New Roman" w:hAnsi="Times New Roman" w:cs="Times New Roman"/>
          <w:sz w:val="24"/>
          <w:szCs w:val="24"/>
          <w:lang w:eastAsia="hu-HU"/>
        </w:rPr>
        <w:t xml:space="preserve"> akár mérhető vagy nem mérhető dimenziókban;</w:t>
      </w:r>
    </w:p>
    <w:p w14:paraId="3CFF96C5" w14:textId="77777777" w:rsidR="00FD4354" w:rsidRPr="00FD4354" w:rsidRDefault="00FD4354" w:rsidP="00FD4354">
      <w:pPr>
        <w:numPr>
          <w:ilvl w:val="0"/>
          <w:numId w:val="5"/>
        </w:numPr>
        <w:shd w:val="clear" w:color="auto" w:fill="FFFFFF"/>
        <w:spacing w:before="120" w:after="120" w:line="240" w:lineRule="auto"/>
        <w:jc w:val="both"/>
        <w:rPr>
          <w:rFonts w:ascii="Times New Roman" w:eastAsia="Times New Roman" w:hAnsi="Times New Roman" w:cs="Times New Roman"/>
          <w:i/>
          <w:sz w:val="24"/>
          <w:szCs w:val="24"/>
          <w:lang w:eastAsia="hu-HU"/>
        </w:rPr>
      </w:pPr>
      <w:r w:rsidRPr="00FD4354">
        <w:rPr>
          <w:rFonts w:ascii="Times New Roman" w:eastAsia="Times New Roman" w:hAnsi="Times New Roman" w:cs="Times New Roman"/>
          <w:caps/>
          <w:sz w:val="24"/>
          <w:szCs w:val="24"/>
          <w:lang w:eastAsia="hu-HU"/>
        </w:rPr>
        <w:t>Cajaiba-Santana (2014)</w:t>
      </w:r>
      <w:r w:rsidRPr="00FD4354">
        <w:rPr>
          <w:rFonts w:ascii="Times New Roman" w:eastAsia="Times New Roman" w:hAnsi="Times New Roman" w:cs="Times New Roman"/>
          <w:sz w:val="24"/>
          <w:szCs w:val="24"/>
          <w:lang w:eastAsia="hu-HU"/>
        </w:rPr>
        <w:t xml:space="preserve"> a </w:t>
      </w:r>
      <w:r w:rsidRPr="00FD4354">
        <w:rPr>
          <w:rFonts w:ascii="Times New Roman" w:eastAsia="Times New Roman" w:hAnsi="Times New Roman" w:cs="Times New Roman"/>
          <w:i/>
          <w:sz w:val="24"/>
          <w:szCs w:val="24"/>
          <w:lang w:eastAsia="hu-HU"/>
        </w:rPr>
        <w:t>kollektivitást</w:t>
      </w:r>
      <w:r w:rsidRPr="00FD4354">
        <w:rPr>
          <w:rFonts w:ascii="Times New Roman" w:eastAsia="Times New Roman" w:hAnsi="Times New Roman" w:cs="Times New Roman"/>
          <w:sz w:val="24"/>
          <w:szCs w:val="24"/>
          <w:lang w:eastAsia="hu-HU"/>
        </w:rPr>
        <w:t xml:space="preserve">, </w:t>
      </w:r>
      <w:r w:rsidRPr="00FD4354">
        <w:rPr>
          <w:rFonts w:ascii="Times New Roman" w:eastAsia="Times New Roman" w:hAnsi="Times New Roman" w:cs="Times New Roman"/>
          <w:i/>
          <w:sz w:val="24"/>
          <w:szCs w:val="24"/>
          <w:lang w:eastAsia="hu-HU"/>
        </w:rPr>
        <w:t>eredmény-orientáltságot</w:t>
      </w:r>
      <w:r w:rsidRPr="00FD4354">
        <w:rPr>
          <w:rFonts w:ascii="Times New Roman" w:eastAsia="Times New Roman" w:hAnsi="Times New Roman" w:cs="Times New Roman"/>
          <w:sz w:val="24"/>
          <w:szCs w:val="24"/>
          <w:lang w:eastAsia="hu-HU"/>
        </w:rPr>
        <w:t xml:space="preserve"> emeli ki, amelyek olyan tevékenységekhez vezetnek, amelyek </w:t>
      </w:r>
      <w:r w:rsidRPr="00FD4354">
        <w:rPr>
          <w:rFonts w:ascii="Times New Roman" w:eastAsia="Times New Roman" w:hAnsi="Times New Roman" w:cs="Times New Roman"/>
          <w:i/>
          <w:sz w:val="24"/>
          <w:szCs w:val="24"/>
          <w:lang w:eastAsia="hu-HU"/>
        </w:rPr>
        <w:t>társadalmi változást eredményeznek.</w:t>
      </w:r>
    </w:p>
    <w:p w14:paraId="3447E7F9"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caps/>
          <w:sz w:val="24"/>
          <w:szCs w:val="24"/>
          <w:lang w:eastAsia="hu-HU"/>
        </w:rPr>
        <w:t xml:space="preserve">Howaldt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bCs/>
          <w:caps/>
          <w:sz w:val="24"/>
          <w:szCs w:val="24"/>
          <w:lang w:eastAsia="hu-HU"/>
        </w:rPr>
        <w:t xml:space="preserve"> Schwarz</w:t>
      </w:r>
      <w:r w:rsidRPr="00FD4354">
        <w:rPr>
          <w:rFonts w:ascii="Times New Roman" w:eastAsia="Times New Roman" w:hAnsi="Times New Roman" w:cs="Times New Roman"/>
          <w:bCs/>
          <w:sz w:val="24"/>
          <w:szCs w:val="24"/>
          <w:lang w:eastAsia="hu-HU"/>
        </w:rPr>
        <w:t xml:space="preserve"> (2010) munkájában arra hívja fel a figyelmet, hogy a társadalmi innovációt a piaci szereplők – új szolgáltatások vagy üzleti modellek formájában –, egyének és hálózataik, társadalmi mozgalmak, kormányzat, különféle együttműködések, de karizmatikus civilek is ösztönözhetik. A hely-alapú stratégiai tervezés során az értékelemek feltárását érdemes kétoldalról megvizsgálni. A közös alkotófolyamat (co-creation) lényege, hogy </w:t>
      </w:r>
      <w:r w:rsidRPr="00FD4354">
        <w:rPr>
          <w:rFonts w:ascii="Times New Roman" w:eastAsia="Times New Roman" w:hAnsi="Times New Roman" w:cs="Times New Roman"/>
          <w:bCs/>
          <w:i/>
          <w:sz w:val="24"/>
          <w:szCs w:val="24"/>
          <w:lang w:eastAsia="hu-HU"/>
        </w:rPr>
        <w:t>párbeszéd alakul ki a területen élők és a területhez lazábban kötődő látogatók között</w:t>
      </w:r>
      <w:r w:rsidRPr="00FD4354">
        <w:rPr>
          <w:rFonts w:ascii="Times New Roman" w:eastAsia="Times New Roman" w:hAnsi="Times New Roman" w:cs="Times New Roman"/>
          <w:bCs/>
          <w:sz w:val="24"/>
          <w:szCs w:val="24"/>
          <w:lang w:eastAsia="hu-HU"/>
        </w:rPr>
        <w:t xml:space="preserve">, és a </w:t>
      </w:r>
      <w:r w:rsidRPr="00FD4354">
        <w:rPr>
          <w:rFonts w:ascii="Times New Roman" w:eastAsia="Times New Roman" w:hAnsi="Times New Roman" w:cs="Times New Roman"/>
          <w:bCs/>
          <w:sz w:val="24"/>
          <w:szCs w:val="24"/>
          <w:lang w:eastAsia="hu-HU"/>
        </w:rPr>
        <w:lastRenderedPageBreak/>
        <w:t>tapasztalatcsere során a megközelítésbeli különbségeket értékes ötletekre, fejlesztési javaslatokra váltják át (</w:t>
      </w:r>
      <w:r w:rsidRPr="00FD4354">
        <w:rPr>
          <w:rFonts w:ascii="Times New Roman" w:eastAsia="Times New Roman" w:hAnsi="Times New Roman" w:cs="Times New Roman"/>
          <w:bCs/>
          <w:caps/>
          <w:sz w:val="24"/>
          <w:szCs w:val="24"/>
          <w:lang w:eastAsia="hu-HU"/>
        </w:rPr>
        <w:t xml:space="preserve">Duxbury </w:t>
      </w:r>
      <w:r w:rsidRPr="00FD4354">
        <w:rPr>
          <w:rFonts w:ascii="Times New Roman" w:eastAsia="Calibri" w:hAnsi="Times New Roman" w:cs="Times New Roman"/>
          <w:sz w:val="24"/>
          <w:szCs w:val="24"/>
          <w:shd w:val="clear" w:color="auto" w:fill="FFFFFF"/>
        </w:rPr>
        <w:t>–</w:t>
      </w:r>
      <w:r w:rsidRPr="00FD4354">
        <w:rPr>
          <w:rFonts w:ascii="Times New Roman" w:eastAsia="Times New Roman" w:hAnsi="Times New Roman" w:cs="Times New Roman"/>
          <w:bCs/>
          <w:caps/>
          <w:sz w:val="24"/>
          <w:szCs w:val="24"/>
          <w:lang w:eastAsia="hu-HU"/>
        </w:rPr>
        <w:t xml:space="preserve"> Richards 2019</w:t>
      </w:r>
      <w:r w:rsidRPr="00FD4354">
        <w:rPr>
          <w:rFonts w:ascii="Times New Roman" w:eastAsia="Times New Roman" w:hAnsi="Times New Roman" w:cs="Times New Roman"/>
          <w:bCs/>
          <w:sz w:val="24"/>
          <w:szCs w:val="24"/>
          <w:lang w:eastAsia="hu-HU"/>
        </w:rPr>
        <w:t>).</w:t>
      </w:r>
    </w:p>
    <w:p w14:paraId="459AFE38"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Az </w:t>
      </w:r>
      <w:r w:rsidRPr="00FD4354">
        <w:rPr>
          <w:rFonts w:ascii="Times New Roman" w:eastAsia="Times New Roman" w:hAnsi="Times New Roman" w:cs="Times New Roman"/>
          <w:bCs/>
          <w:i/>
          <w:sz w:val="24"/>
          <w:szCs w:val="24"/>
          <w:lang w:eastAsia="hu-HU"/>
        </w:rPr>
        <w:t>alulról jövő kezdeményezések</w:t>
      </w:r>
      <w:r w:rsidRPr="00FD4354">
        <w:rPr>
          <w:rFonts w:ascii="Times New Roman" w:eastAsia="Times New Roman" w:hAnsi="Times New Roman" w:cs="Times New Roman"/>
          <w:bCs/>
          <w:sz w:val="24"/>
          <w:szCs w:val="24"/>
          <w:lang w:eastAsia="hu-HU"/>
        </w:rPr>
        <w:t xml:space="preserve"> terjedése rendszerszintű változást is eredményezhet: </w:t>
      </w:r>
      <w:r w:rsidRPr="00FD4354">
        <w:rPr>
          <w:rFonts w:ascii="Times New Roman" w:eastAsia="Times New Roman" w:hAnsi="Times New Roman" w:cs="Times New Roman"/>
          <w:bCs/>
          <w:caps/>
          <w:sz w:val="24"/>
          <w:szCs w:val="24"/>
          <w:lang w:eastAsia="hu-HU"/>
        </w:rPr>
        <w:t xml:space="preserve">Backhaus </w:t>
      </w:r>
      <w:r w:rsidRPr="00FD4354">
        <w:rPr>
          <w:rFonts w:ascii="Times New Roman" w:eastAsia="Times New Roman" w:hAnsi="Times New Roman" w:cs="Times New Roman"/>
          <w:bCs/>
          <w:sz w:val="24"/>
          <w:szCs w:val="24"/>
          <w:lang w:eastAsia="hu-HU"/>
        </w:rPr>
        <w:t>et al</w:t>
      </w:r>
      <w:r w:rsidRPr="00FD4354">
        <w:rPr>
          <w:rFonts w:ascii="Times New Roman" w:eastAsia="Times New Roman" w:hAnsi="Times New Roman" w:cs="Times New Roman"/>
          <w:bCs/>
          <w:caps/>
          <w:sz w:val="24"/>
          <w:szCs w:val="24"/>
          <w:lang w:eastAsia="hu-HU"/>
        </w:rPr>
        <w:t>. (2017)</w:t>
      </w:r>
      <w:r w:rsidRPr="00FD4354">
        <w:rPr>
          <w:rFonts w:ascii="Times New Roman" w:eastAsia="Times New Roman" w:hAnsi="Times New Roman" w:cs="Times New Roman"/>
          <w:bCs/>
          <w:sz w:val="24"/>
          <w:szCs w:val="24"/>
          <w:lang w:eastAsia="hu-HU"/>
        </w:rPr>
        <w:t xml:space="preserve"> arra hívja fel a figyelmet, hogy a társadalmi innováció magával húzhatja a társadalmi kapcsolatok oly mértékű megváltozását az újszerű szervezési, cselekvési eljárások révén, amelyek az uralkodó társadalmi intézmények működésére is hatással lehetnek.</w:t>
      </w:r>
    </w:p>
    <w:p w14:paraId="66177E1D"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bookmarkStart w:id="4" w:name="_Hlk128223920"/>
      <w:r w:rsidRPr="00FD4354">
        <w:rPr>
          <w:rFonts w:ascii="Times New Roman" w:eastAsia="Times New Roman" w:hAnsi="Times New Roman" w:cs="Times New Roman"/>
          <w:bCs/>
          <w:sz w:val="24"/>
          <w:szCs w:val="24"/>
          <w:lang w:eastAsia="hu-HU"/>
        </w:rPr>
        <w:t>A vidéki területek vizsgálata nem csupán térszerkezeti szempontból jelentős, hanem a városi és vidéki területek népességének életminőségét befolyásoló tényezők értékelése miatt is. Csatári (2000) szerint a hazai város-vidék dichotómia pejoratív interpretációja hátterében a fejlődési szakadék húzódik meg. A centrum – periféria metaforát használja Nemes Nagy (2009) a helyzet, fekvés elérhetőség vizsgálatára, amelynél a központ egyértelmű irányító szereppel bír, sőt felvázolja a centrum-perifériaviszony háromosztatú jellegét is (1) helyzeti/ földrajzi, (2) fejlettségi/ gazdasági és (3) hatalmi dimenziókban. A kisebb településeknél ezért jut hatalmas szerephez a polgármester, valamint a gazdasági vagy kulturális szempontból befolyással bíró elit, aki kapcsolatai révén előnyös helyzetbe juttathatja a hatalmi szempontból függő, eseteként földrajzi szempontból periférikus elhelyezkedésű településeket is. Illés (2008) szerint a területfejlesztés feladata a periférikus területek „vérkeringésbe” kapcsolása a közlekedési kapcsolatok javítása által. Annak ellenére, hogy széles irodalma van a város-vidék kapcsolatok fejlesztésének, több program irányult és irányul a kapcsolatok javítására sajnos nem beszélhetünk arról, hogy az Uniós Kohéziós Politika jelentős eredményeket ért volna el a fejlettségi különbségek mérséklésére. A nemzetközi szakirodalom bevett fogalmává vált a „geography of discontent”, azaz az elégedetlenség földrajza, amely túlmutat az egyenlőtlen feltételek és társadalmi méltánytalanságok tárgyalásán (</w:t>
      </w:r>
      <w:r w:rsidRPr="00FD4354">
        <w:rPr>
          <w:rFonts w:ascii="Times New Roman" w:eastAsia="Times New Roman" w:hAnsi="Times New Roman" w:cs="Times New Roman"/>
          <w:bCs/>
          <w:caps/>
          <w:sz w:val="24"/>
          <w:szCs w:val="24"/>
          <w:lang w:eastAsia="hu-HU"/>
        </w:rPr>
        <w:t xml:space="preserve">Dijkstra </w:t>
      </w:r>
      <w:r w:rsidRPr="00FD4354">
        <w:rPr>
          <w:rFonts w:ascii="Times New Roman" w:eastAsia="Times New Roman" w:hAnsi="Times New Roman" w:cs="Times New Roman"/>
          <w:bCs/>
          <w:sz w:val="24"/>
          <w:szCs w:val="24"/>
          <w:lang w:eastAsia="hu-HU"/>
        </w:rPr>
        <w:t>et al</w:t>
      </w:r>
      <w:r w:rsidRPr="00FD4354">
        <w:rPr>
          <w:rFonts w:ascii="Times New Roman" w:eastAsia="Times New Roman" w:hAnsi="Times New Roman" w:cs="Times New Roman"/>
          <w:bCs/>
          <w:caps/>
          <w:sz w:val="24"/>
          <w:szCs w:val="24"/>
          <w:lang w:eastAsia="hu-HU"/>
        </w:rPr>
        <w:t>. 2020</w:t>
      </w:r>
      <w:r w:rsidRPr="00FD4354">
        <w:rPr>
          <w:rFonts w:ascii="Times New Roman" w:eastAsia="Times New Roman" w:hAnsi="Times New Roman" w:cs="Times New Roman"/>
          <w:bCs/>
          <w:sz w:val="24"/>
          <w:szCs w:val="24"/>
          <w:lang w:eastAsia="hu-HU"/>
        </w:rPr>
        <w:t>).</w:t>
      </w:r>
    </w:p>
    <w:bookmarkEnd w:id="4"/>
    <w:p w14:paraId="2E4DFB39"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bCs/>
          <w:sz w:val="24"/>
          <w:szCs w:val="24"/>
          <w:lang w:eastAsia="hu-HU"/>
        </w:rPr>
      </w:pPr>
      <w:r w:rsidRPr="00FD4354">
        <w:rPr>
          <w:rFonts w:ascii="Times New Roman" w:eastAsia="Times New Roman" w:hAnsi="Times New Roman" w:cs="Times New Roman"/>
          <w:b/>
          <w:bCs/>
          <w:sz w:val="24"/>
          <w:szCs w:val="24"/>
          <w:lang w:eastAsia="hu-HU"/>
        </w:rPr>
        <w:t>3. A települések bemutatása</w:t>
      </w:r>
    </w:p>
    <w:p w14:paraId="00AB87A3"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A projektben részvevő négy település a Bakonyban található. A VEB2023 jelentős innovációja, hogy Veszprém és a Balaton Kiemelt Üdülőkörzet településein túl ezt a térséget is partnerként kezeli – azaz a programtervezés és megvalósítás során a Balaton Fejlesztési Tanácshoz tartozó települések Veszprémmel és a Bakony régióval közösen vesznek részt. A települések közül mind a négy katolikus vallású falu, áthalad rajta az Országos Kéktúra </w:t>
      </w:r>
      <w:r w:rsidRPr="00FD4354">
        <w:rPr>
          <w:rFonts w:ascii="Times New Roman" w:eastAsia="Times New Roman" w:hAnsi="Times New Roman" w:cs="Times New Roman"/>
          <w:sz w:val="24"/>
          <w:szCs w:val="24"/>
          <w:lang w:eastAsia="hu-HU"/>
        </w:rPr>
        <w:t>(továbbiakban OKT)</w:t>
      </w:r>
      <w:r w:rsidRPr="00FD4354">
        <w:rPr>
          <w:rFonts w:ascii="Times New Roman" w:eastAsia="Times New Roman" w:hAnsi="Times New Roman" w:cs="Times New Roman"/>
          <w:bCs/>
          <w:sz w:val="24"/>
          <w:szCs w:val="24"/>
          <w:lang w:eastAsia="hu-HU"/>
        </w:rPr>
        <w:t xml:space="preserve">, s Bakonynána, Jásd és Nagyesztergár a Gaja-patak mentén fekszik. Mind a négy település rendelkezik alapfokú oktatással. Bakonynána és Jásd a Veszprém megyei 1. sz., Borzavár és Nagyesztergár pedig a Veszprém megyei 4. sz. országgyűlési egyéni választókerülethez tartozik. </w:t>
      </w:r>
    </w:p>
    <w:p w14:paraId="4F7F2818"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A négy település aktív dolgozói jellemzően a közeli városokba járnak dolgozni (Zirc, Várpalota, Veszprém), de akad olyan is, aki távolabbi gazdasági centrumokba (Székesfehérvár, Győr) ingázik. A magyar átlaghoz képest kiegyensúlyozott népességszámuk az új beköltözőknek köszönhető, ami ugyanakkor kihívást is jelent a régi lakók és új beköltözők kohéziójának perspektívájából. Érdekesség, hogy a négy település polgármesterei közül ketten maguk is ingázónak minősülnek (Jásd és Nagyesztergár). Bakonynánán és Nagyesztergáron a sváb, míg Jásdon a szlovák kisebbség és örökség megőrzése jelentős helyi feladat. Borzaváron nincs nemzetiségi hagyomány.</w:t>
      </w:r>
    </w:p>
    <w:p w14:paraId="5C31FD2E"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i/>
          <w:sz w:val="24"/>
          <w:szCs w:val="24"/>
          <w:lang w:eastAsia="hu-HU"/>
        </w:rPr>
      </w:pPr>
      <w:r w:rsidRPr="00FD4354">
        <w:rPr>
          <w:rFonts w:ascii="Times New Roman" w:eastAsia="Times New Roman" w:hAnsi="Times New Roman" w:cs="Times New Roman"/>
          <w:b/>
          <w:i/>
          <w:sz w:val="24"/>
          <w:szCs w:val="24"/>
          <w:lang w:eastAsia="hu-HU"/>
        </w:rPr>
        <w:t>3.1. Bakonynána</w:t>
      </w:r>
    </w:p>
    <w:p w14:paraId="04CAB890"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Bakonynána megközelítőleg 1000 fős zsákfalu az Északi-Bakonyban.  Bakonynánához tartozik a Bakony egyik kiemelt látnivalója, a Gaja-patak Bakonynána és Jásd közötti áttörése, a Római Fürdő. A környék forrásokban (pl. Vadalmás-forrás) és természeti látványosságokban igen gazdag; 2022. júniusban a Turista online magazinban megjelent véleménycikk szerint (LÁNCZI 2022) a környék országos viszonylatban is kiemelkedő úti cél.</w:t>
      </w:r>
    </w:p>
    <w:p w14:paraId="70172089"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lastRenderedPageBreak/>
        <w:t>A település vezetésének célja a helyi közösség összetartása. Bár valamennyi megosztottság tapasztalható a helyiek között (pl. a sváb identitás és hagyományok szerepét tekintve), mégis számos klub, kör és tevékenység található, ami a találkozásokat, a szabadidő közösségben történő eltöltését bátorítja (Vadvirág Nyugdíjasklub, települési tánckör).  A település élő sváb öröksége a gasztronómiai hagyományok ápolása, nemzedékek közötti átadása. A település piaci alapon működő nagyrendezvénye, a több ezer látogatót is vonzó gombócfesztivál, amelyet minden évben megrendeznek.</w:t>
      </w:r>
    </w:p>
    <w:p w14:paraId="424818C3"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Az önkormányzat a Bakonyszentkirályi Közös Önkormányzati Hivatalhoz tartozik, a településen német nemzetiségi önkormányzat is működik. A polgármesteri hivatal épületében könyvtár, gyermek és felnőtt háziorvosi rendelő is található. A német nemzetiségi óvodán és általános iskolán kívül a településen működik gyermekotthon is. A sváb zenei örökség és népdalkincs ápolását két hagyományőrző csoport végzi sikeresen. A településen több szálláshely, valamint vállalkozó működik, köztük kézművesek és gazdálkodók.</w:t>
      </w:r>
    </w:p>
    <w:p w14:paraId="62EAC761"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i/>
          <w:sz w:val="24"/>
          <w:szCs w:val="24"/>
          <w:lang w:eastAsia="hu-HU"/>
        </w:rPr>
      </w:pPr>
      <w:r w:rsidRPr="00FD4354">
        <w:rPr>
          <w:rFonts w:ascii="Times New Roman" w:eastAsia="Times New Roman" w:hAnsi="Times New Roman" w:cs="Times New Roman"/>
          <w:b/>
          <w:i/>
          <w:sz w:val="24"/>
          <w:szCs w:val="24"/>
          <w:lang w:eastAsia="hu-HU"/>
        </w:rPr>
        <w:t>3.2. Borzavár</w:t>
      </w:r>
    </w:p>
    <w:p w14:paraId="63EFCC92"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Borzavár egy alig több, mint 700 lelket számláló zsákfalu. Zirc járáshoz tartozik. A falu az 1700-as évek második felében már a maihoz hasonló lélekszámmal rendelkezett. A többségében magyar etnikumú közösségnek, noha nem volt zavartalan a sorsa, a többiekéhez hasonló etnikai feszültségekkel nem kellett megbirkóznia az évszázadok során. Borzavár lakói főleg mészégetéssel, szénégetéssel, valamint fakitermeléssel és egyéb mezőgazdasági tevékenységgel foglalkoztak.  </w:t>
      </w:r>
    </w:p>
    <w:p w14:paraId="0187F24E"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Borzavár gazdag geológiai és természeti örökséggel, valamint egyedülálló néptánchagyománnyal rendelkezik. Mivel a négy település közül Borzavárnak még nem létezett saját értéktára, sem faluháza, amely bemutathatná kulturális örökségének darabjait, a terepmunka szempontjából mindez elsődleges fontosságú feladat volt. Fontos megjegyezni, hogy a padláson és egyéb háznál tárolt magángyűjtemények gazdag kulturális és néprajzi hagyomány hordozói. Azonban sem e tárgyi kincsek egyéni gyűjteményben történő megőrzése, sem a korábban részben feltárt népzenei és néptánc-örökségek visszatanítása, sem a néptanítók múltfeljegyző és hagyományőrző tevékenysége nem tűnik időtállónak. </w:t>
      </w:r>
    </w:p>
    <w:p w14:paraId="57675813"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Borzavár szempontjából a helyiek közösséggé kovácsolása, saját értékeik hosszútávú, közösségi alapú kultiválása, valamint az egyedülálló természeti kincseire épülő slow- és ökoturizmus formái voltak a helyiekkel közös gondolkodás és a kutatás közösen megfogalmazott céljai.</w:t>
      </w:r>
    </w:p>
    <w:p w14:paraId="32AAC485"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 A beköltözők integrálása miatt fontos célként határozták meg a „betelepülők” és a „helyiek” megismerkedését, azt, hogy körvonalazódjon egy lokális kötődés és ezzel együtt újraépüljön egy közös borzavári identitás.</w:t>
      </w:r>
    </w:p>
    <w:p w14:paraId="5C41EBAB"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sz w:val="24"/>
          <w:szCs w:val="24"/>
          <w:lang w:eastAsia="hu-HU"/>
        </w:rPr>
      </w:pPr>
      <w:r w:rsidRPr="00FD4354">
        <w:rPr>
          <w:rFonts w:ascii="Times New Roman" w:eastAsia="Times New Roman" w:hAnsi="Times New Roman" w:cs="Times New Roman"/>
          <w:b/>
          <w:i/>
          <w:sz w:val="24"/>
          <w:szCs w:val="24"/>
          <w:lang w:eastAsia="hu-HU"/>
        </w:rPr>
        <w:t>3.3. Jásd</w:t>
      </w:r>
    </w:p>
    <w:p w14:paraId="67FAF8A7"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Jásd egy kb. 700 lelkes zsákfalu, melynek lakossága lassan, de folyamatosan csökken: a lassú erózió nyomán ma 20%-kal kevesebben élnek a faluban, mint a rendszerváltáskor (KSH 2011). Jásd helyi társadalma viszonylag zárt: a fiatal, munkaképes lakosok döntő többsége a környező városokban ipari cégeknél (61,7%) dolgozik, napi szinten ingázik, valamint néhányan mezőgazdasági tevékenységet (2,9%) végeznek (KSH 2021). Kifejezetten turizmus-vendéglátás szolgáltatással kevesen foglalkoznak, illetve kizárólag ebből a tevékenységből nem élnek meg. Bár a turizmus a 2000-es évek óta jelen van a falu életében, a falusi turizmus klasszikus kínálata átalakult, a hajdani vendéglátók jórészt nem élnek már. A településen 10 szálláshely működik (KISS 2022).</w:t>
      </w:r>
    </w:p>
    <w:p w14:paraId="22221056"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lastRenderedPageBreak/>
        <w:t xml:space="preserve"> A falu fontos szerepet játszik a Bakony turizmusában: a jásdi látnivalók (OKT útvonal, Szent-kút zarándokhely, a Mária szobor öltöztetése, mint különleges szokás, Bodzaház és Tájház, szlovák örökség, kulturális programok) regionális értelemben, a belföldi vendégekre vonatkoztatva jelentenek vonzerőt. Az alapvető infrastruktúra (hivatal, bolt, iskola, posta, tömegközlekedés, orvosi szűrés) rendelkezésre áll. A falu több olyan intézményt tart fenn, ahol a gyerekek, itt élők szórakozhatnak, ismereteket kaphatnak. </w:t>
      </w:r>
    </w:p>
    <w:p w14:paraId="0FD97BC7"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i/>
          <w:sz w:val="24"/>
          <w:szCs w:val="24"/>
          <w:lang w:eastAsia="hu-HU"/>
        </w:rPr>
      </w:pPr>
      <w:r w:rsidRPr="00FD4354">
        <w:rPr>
          <w:rFonts w:ascii="Times New Roman" w:eastAsia="Times New Roman" w:hAnsi="Times New Roman" w:cs="Times New Roman"/>
          <w:b/>
          <w:i/>
          <w:sz w:val="24"/>
          <w:szCs w:val="24"/>
          <w:lang w:eastAsia="hu-HU"/>
        </w:rPr>
        <w:t>3.4. Nagyesztergár</w:t>
      </w:r>
    </w:p>
    <w:p w14:paraId="256E2E2D" w14:textId="77777777" w:rsidR="00FD4354" w:rsidRPr="00FD4354" w:rsidRDefault="00FD4354" w:rsidP="00FD4354">
      <w:pPr>
        <w:spacing w:before="120"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sz w:val="24"/>
          <w:szCs w:val="24"/>
        </w:rPr>
        <w:t xml:space="preserve">Nagyesztergár Zirc közvetlen szomszédságában elhelyezkedő kb. 1200 lakost számláló útifalu (olyan település, amelynek két sor szalagtelke egy átfutó út két oldalán helyezkedik el). Nagyesztergárt Lókúttal és Olaszfaluval együtt 1984-ben Zirchez csatolták. 1993-ban újra függetlenné vált, térkapcsolati szempontból azonban „falusi jellegét meghaladóan” ma is kötődik Zirchez. </w:t>
      </w:r>
    </w:p>
    <w:p w14:paraId="0EEE469F" w14:textId="77777777" w:rsidR="00FD4354" w:rsidRPr="00FD4354" w:rsidRDefault="00FD4354" w:rsidP="00FD4354">
      <w:pPr>
        <w:spacing w:before="120"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sz w:val="24"/>
          <w:szCs w:val="24"/>
        </w:rPr>
        <w:t xml:space="preserve">Nagyesztergár lélekszáma az elmúlt 30 évben a KSH adatai szerint enyhén csökkent. Az etnikai összetétel vonatkozásában a 20. század első felében még németajkú, sváb település volt, azonban az 1948-as lakosságcsere, majd az államszocializmus maradandó változásokat hozott a falusi közösség szövetében és erőteljes „elmagyarosodásnak” lehettek tanúi. Idei kutatásainkból világossá vált, hogy az elmúlt 11 évben a magát még svábnak tartó lakosság nagyon jelentős eróziót szenvedett. A német kisebbségi önkormányzat jövőbeni fennmaradása kérdéses. A település összetétele folyamatosan változik, a fiatal családosok számára népszerű a nagy urbánus központok közelsége, ugyanakkor nyugodt, kertvárosias jellege miatt. A falu hosszanti elhelyezkedése a főút két oldalán a faluközpont hiánya azonban nem segítik elő a helyiek találkozását, kapcsolataik kialakulását. </w:t>
      </w:r>
    </w:p>
    <w:p w14:paraId="6618062B" w14:textId="77777777" w:rsidR="00FD4354" w:rsidRPr="00FD4354" w:rsidRDefault="00FD4354" w:rsidP="00FD4354">
      <w:pPr>
        <w:spacing w:before="120"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sz w:val="24"/>
          <w:szCs w:val="24"/>
        </w:rPr>
        <w:t xml:space="preserve">Turisztikai szempontból a település elhelyezkedése rendkívül kedvező: a Gaja-patak forrása itt található, valamint gyönyörű természeti környezet veszi körül. Az OKT útvonala mentén fekszik, de a környező településekkel (Bakonynána, Jásd, Olaszfalu, Eplény) is könnyen hálózatot alkot. Szolgáltatások tekintetében azonban messze elmarad, hiszen két szálláshely és két kocsma üzemel, nincs sem étterem, sem egy nagyobb közösséget befogadni képes zárt információs pont, vagy látogatóközpont. </w:t>
      </w:r>
    </w:p>
    <w:p w14:paraId="42B1999B"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color w:val="FF0000"/>
          <w:sz w:val="24"/>
          <w:szCs w:val="24"/>
          <w:lang w:eastAsia="hu-HU"/>
        </w:rPr>
      </w:pPr>
      <w:r w:rsidRPr="00FD4354">
        <w:rPr>
          <w:rFonts w:ascii="Times New Roman" w:eastAsia="Times New Roman" w:hAnsi="Times New Roman" w:cs="Times New Roman"/>
          <w:b/>
          <w:bCs/>
          <w:sz w:val="24"/>
          <w:szCs w:val="24"/>
          <w:lang w:eastAsia="hu-HU"/>
        </w:rPr>
        <w:t>4. Kutatási módszerek</w:t>
      </w:r>
      <w:r w:rsidRPr="00FD4354">
        <w:rPr>
          <w:rFonts w:ascii="Times New Roman" w:eastAsia="Times New Roman" w:hAnsi="Times New Roman" w:cs="Times New Roman"/>
          <w:color w:val="FF0000"/>
          <w:sz w:val="24"/>
          <w:szCs w:val="24"/>
          <w:lang w:eastAsia="hu-HU"/>
        </w:rPr>
        <w:t xml:space="preserve"> </w:t>
      </w:r>
    </w:p>
    <w:p w14:paraId="325E9E0F"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következő fejezetekben a Bakony Ékkövei projekthez kapcsolódó települések esetében mutatjuk be az alkalmazott kutatási módszereket és az eredményeket. A gyakorlatban alkalmazott széles módszertani kör – statisztikai adatelemzés, digitális tartalmak elemzése, települési és természeti bejárások, strukturált interjúk, videóra rögzített életút-interjúk, próbavásárlások, mentális térképezés – hatékonyan reprezentálja azt a sokszínűséget, ami a </w:t>
      </w:r>
      <w:r w:rsidRPr="00FD4354">
        <w:rPr>
          <w:rFonts w:ascii="Times New Roman" w:eastAsia="Times New Roman" w:hAnsi="Times New Roman" w:cs="Times New Roman"/>
          <w:i/>
          <w:sz w:val="24"/>
          <w:szCs w:val="24"/>
          <w:lang w:eastAsia="hu-HU"/>
        </w:rPr>
        <w:t xml:space="preserve">hely-alapú stratégiai </w:t>
      </w:r>
      <w:r w:rsidRPr="00FD4354">
        <w:rPr>
          <w:rFonts w:ascii="Times New Roman" w:eastAsia="Times New Roman" w:hAnsi="Times New Roman" w:cs="Times New Roman"/>
          <w:iCs/>
          <w:sz w:val="24"/>
          <w:szCs w:val="24"/>
          <w:lang w:eastAsia="hu-HU"/>
        </w:rPr>
        <w:t>fejlesztések elősegítését szolgálja (1. sz. ábra).</w:t>
      </w:r>
      <w:r w:rsidRPr="00FD4354">
        <w:rPr>
          <w:rFonts w:ascii="Times New Roman" w:eastAsia="Times New Roman" w:hAnsi="Times New Roman" w:cs="Times New Roman"/>
          <w:sz w:val="24"/>
          <w:szCs w:val="24"/>
          <w:lang w:eastAsia="hu-HU"/>
        </w:rPr>
        <w:t xml:space="preserve"> </w:t>
      </w:r>
    </w:p>
    <w:p w14:paraId="72E27B9D"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p>
    <w:p w14:paraId="75AD31E4" w14:textId="77777777" w:rsidR="00FD4354" w:rsidRPr="00FD4354" w:rsidRDefault="00FD4354" w:rsidP="00FD4354">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hu-HU"/>
        </w:rPr>
      </w:pPr>
    </w:p>
    <w:p w14:paraId="105FDB69" w14:textId="77777777" w:rsidR="00FD4354" w:rsidRPr="00FD4354" w:rsidRDefault="00FD4354" w:rsidP="00FD4354">
      <w:pPr>
        <w:shd w:val="clear" w:color="auto" w:fill="FFFFFF"/>
        <w:spacing w:after="120" w:line="240" w:lineRule="auto"/>
        <w:ind w:left="357"/>
        <w:contextualSpacing/>
        <w:jc w:val="center"/>
        <w:rPr>
          <w:rFonts w:ascii="Times New Roman" w:eastAsia="Times New Roman" w:hAnsi="Times New Roman" w:cs="Times New Roman"/>
          <w:sz w:val="24"/>
          <w:szCs w:val="24"/>
          <w:lang w:eastAsia="hu-HU"/>
        </w:rPr>
      </w:pPr>
      <w:r w:rsidRPr="00FD4354">
        <w:rPr>
          <w:rFonts w:ascii="Times New Roman" w:eastAsia="Times New Roman" w:hAnsi="Times New Roman" w:cs="Times New Roman"/>
          <w:b/>
          <w:bCs/>
          <w:noProof/>
          <w:sz w:val="24"/>
          <w:szCs w:val="24"/>
          <w:lang w:eastAsia="hu-HU"/>
        </w:rPr>
        <w:lastRenderedPageBreak/>
        <w:drawing>
          <wp:anchor distT="0" distB="0" distL="114300" distR="114300" simplePos="0" relativeHeight="251659264" behindDoc="0" locked="0" layoutInCell="1" allowOverlap="1" wp14:anchorId="126F971E" wp14:editId="5E0504AE">
            <wp:simplePos x="0" y="0"/>
            <wp:positionH relativeFrom="column">
              <wp:posOffset>229870</wp:posOffset>
            </wp:positionH>
            <wp:positionV relativeFrom="paragraph">
              <wp:posOffset>268041</wp:posOffset>
            </wp:positionV>
            <wp:extent cx="5486400" cy="3200400"/>
            <wp:effectExtent l="0" t="0" r="0" b="19050"/>
            <wp:wrapTopAndBottom/>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FD4354">
        <w:rPr>
          <w:rFonts w:ascii="Times New Roman" w:eastAsia="Times New Roman" w:hAnsi="Times New Roman" w:cs="Times New Roman"/>
          <w:sz w:val="24"/>
          <w:szCs w:val="24"/>
          <w:lang w:eastAsia="hu-HU"/>
        </w:rPr>
        <w:t>1. ábra: A Bakony Ékkövei projekt kapcsán alkalmazott kutatási módszerek</w:t>
      </w:r>
    </w:p>
    <w:p w14:paraId="48710E0E" w14:textId="77777777" w:rsidR="00FD4354" w:rsidRPr="00FD4354" w:rsidRDefault="00FD4354" w:rsidP="00FD4354">
      <w:pPr>
        <w:shd w:val="clear" w:color="auto" w:fill="FFFFFF"/>
        <w:spacing w:after="120" w:line="240" w:lineRule="auto"/>
        <w:ind w:left="360"/>
        <w:jc w:val="center"/>
        <w:rPr>
          <w:rFonts w:ascii="Times New Roman" w:eastAsia="Times New Roman" w:hAnsi="Times New Roman" w:cs="Times New Roman"/>
          <w:i/>
          <w:sz w:val="24"/>
          <w:szCs w:val="24"/>
          <w:lang w:eastAsia="hu-HU"/>
        </w:rPr>
      </w:pPr>
      <w:r w:rsidRPr="00FD4354">
        <w:rPr>
          <w:rFonts w:ascii="Times New Roman" w:eastAsia="Times New Roman" w:hAnsi="Times New Roman" w:cs="Times New Roman"/>
          <w:i/>
          <w:sz w:val="24"/>
          <w:szCs w:val="24"/>
          <w:lang w:eastAsia="hu-HU"/>
        </w:rPr>
        <w:t>Forrás: saját szerkesztés</w:t>
      </w:r>
    </w:p>
    <w:p w14:paraId="343510CB" w14:textId="77777777" w:rsidR="00FD4354" w:rsidRPr="00FD4354" w:rsidRDefault="00FD4354" w:rsidP="00FD4354">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i/>
          <w:sz w:val="24"/>
          <w:szCs w:val="24"/>
          <w:lang w:eastAsia="hu-HU"/>
        </w:rPr>
        <w:t xml:space="preserve">A statisztikai adatelemzés </w:t>
      </w:r>
      <w:r w:rsidRPr="00FD4354">
        <w:rPr>
          <w:rFonts w:ascii="Times New Roman" w:eastAsia="Times New Roman" w:hAnsi="Times New Roman" w:cs="Times New Roman"/>
          <w:sz w:val="24"/>
          <w:szCs w:val="24"/>
          <w:lang w:eastAsia="hu-HU"/>
        </w:rPr>
        <w:t xml:space="preserve">a négy település adatalapú helyzetékelésére vonatkozott </w:t>
      </w:r>
      <w:r w:rsidRPr="00FD4354">
        <w:rPr>
          <w:rFonts w:ascii="Times New Roman" w:eastAsia="Times New Roman" w:hAnsi="Times New Roman" w:cs="Times New Roman"/>
          <w:sz w:val="24"/>
          <w:szCs w:val="24"/>
          <w:lang w:eastAsia="hu-HU"/>
        </w:rPr>
        <w:br/>
        <w:t xml:space="preserve">(1) földterület hasznosítása, (2) népesség, foglalkoztatás, jövedelemhelyzet, </w:t>
      </w:r>
      <w:r w:rsidRPr="00FD4354">
        <w:rPr>
          <w:rFonts w:ascii="Times New Roman" w:eastAsia="Times New Roman" w:hAnsi="Times New Roman" w:cs="Times New Roman"/>
          <w:sz w:val="24"/>
          <w:szCs w:val="24"/>
          <w:lang w:eastAsia="hu-HU"/>
        </w:rPr>
        <w:br/>
        <w:t>(3) szálláshelyek, férőhelyek, (4) ingázás tématerületeken. A szakértők betekintést nyerhettek a települések stratégiai dokumentumaiba, valamint behatóan tanulmányozták az eddig publikált településtörténeti munkákat.</w:t>
      </w:r>
    </w:p>
    <w:p w14:paraId="72D21030" w14:textId="77777777" w:rsidR="00FD4354" w:rsidRPr="00FD4354" w:rsidRDefault="00FD4354" w:rsidP="00FD4354">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i/>
          <w:sz w:val="24"/>
          <w:szCs w:val="24"/>
          <w:lang w:eastAsia="hu-HU"/>
        </w:rPr>
        <w:t xml:space="preserve">Digitális tartalmak elemzése: </w:t>
      </w:r>
      <w:r w:rsidRPr="00FD4354">
        <w:rPr>
          <w:rFonts w:ascii="Times New Roman" w:eastAsia="Times New Roman" w:hAnsi="Times New Roman" w:cs="Times New Roman"/>
          <w:sz w:val="24"/>
          <w:szCs w:val="24"/>
          <w:lang w:eastAsia="hu-HU"/>
        </w:rPr>
        <w:t xml:space="preserve">a települések (külső) imázsának és ismertségének feltérképezése érdekében – mind a lakóhely, mind pedig az úti cél funkcióhoz kapcsolódva – a magyar és angol nyelvű tartalom, a vizuális megjelenés (logo, képek, térképek, grafikák, letölthető kiadványok és filmek) formái kerültek elemzésre.  </w:t>
      </w:r>
      <w:r w:rsidRPr="00FD4354">
        <w:rPr>
          <w:rFonts w:ascii="Times New Roman" w:eastAsia="Times New Roman" w:hAnsi="Times New Roman" w:cs="Times New Roman"/>
          <w:i/>
          <w:sz w:val="24"/>
          <w:szCs w:val="24"/>
          <w:lang w:eastAsia="hu-HU"/>
        </w:rPr>
        <w:t xml:space="preserve"> </w:t>
      </w:r>
    </w:p>
    <w:p w14:paraId="7FC3F679" w14:textId="77777777" w:rsidR="00FD4354" w:rsidRPr="00FD4354" w:rsidRDefault="00FD4354" w:rsidP="00FD435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i/>
          <w:sz w:val="24"/>
          <w:szCs w:val="24"/>
          <w:lang w:eastAsia="hu-HU"/>
        </w:rPr>
        <w:t>Települési és természeti bejárások</w:t>
      </w:r>
      <w:r w:rsidRPr="00FD4354">
        <w:rPr>
          <w:rFonts w:ascii="Times New Roman" w:eastAsia="Times New Roman" w:hAnsi="Times New Roman" w:cs="Times New Roman"/>
          <w:sz w:val="24"/>
          <w:szCs w:val="24"/>
          <w:lang w:eastAsia="hu-HU"/>
        </w:rPr>
        <w:t>: a bejárások célja egyes települések és a környékének kisebb-nagyobb természeti-kulturális értékeinek feltárása annak érdekében, hogy az ismert Országos Kéktúra útvonalán túl rövidebb-hosszabb túrákat lehessen kialakítani. A fontos helyek, látnivalók rögzítése GPS-koordinátával történt. A látványosságokról jelentős mennyiségű fotó is készült.</w:t>
      </w:r>
    </w:p>
    <w:p w14:paraId="1BD375AC" w14:textId="77777777" w:rsidR="00FD4354" w:rsidRPr="00FD4354" w:rsidRDefault="00FD4354" w:rsidP="00FD4354">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i/>
          <w:sz w:val="24"/>
          <w:szCs w:val="24"/>
          <w:lang w:eastAsia="hu-HU"/>
        </w:rPr>
        <w:t>Strukturált interjúk</w:t>
      </w:r>
      <w:r w:rsidRPr="00FD4354">
        <w:rPr>
          <w:rFonts w:ascii="Times New Roman" w:eastAsia="Times New Roman" w:hAnsi="Times New Roman" w:cs="Times New Roman"/>
          <w:sz w:val="24"/>
          <w:szCs w:val="24"/>
          <w:lang w:eastAsia="hu-HU"/>
        </w:rPr>
        <w:t>: ezzel a módszerrel a kutató-fejlesztő csoport többsége dolgozott. A természeti értékek és állapotuk kapcsán készült interjú a Bakony-Balaton Geopark munkatársaival, valamint a VERGA Zrt. Királyszállási Erdészet Igazgatójával is. Volt olyan ösztöndíjas, aki a településközi kapcsolatok, együttműködés feltárása céljából mind a négy település polgármesterét interjú keretében kérdezte az együttműködési lehetőségekről és gyakorlatokról. A helyi lakossággal, döntéshozó személyekkel folytatott beszélgetések a települések (természeti, kulturális és humán) erőforrásait, értékeit tárták fel és árnyalták.</w:t>
      </w:r>
    </w:p>
    <w:p w14:paraId="1A5608C0" w14:textId="77777777" w:rsidR="00FD4354" w:rsidRPr="00FD4354" w:rsidRDefault="00FD4354" w:rsidP="00FD435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i/>
          <w:sz w:val="24"/>
          <w:szCs w:val="24"/>
          <w:lang w:eastAsia="hu-HU"/>
        </w:rPr>
        <w:t>Videóra rögzített interjúk</w:t>
      </w:r>
      <w:r w:rsidRPr="00FD4354">
        <w:rPr>
          <w:rFonts w:ascii="Times New Roman" w:eastAsia="Times New Roman" w:hAnsi="Times New Roman" w:cs="Times New Roman"/>
          <w:sz w:val="24"/>
          <w:szCs w:val="24"/>
          <w:lang w:eastAsia="hu-HU"/>
        </w:rPr>
        <w:t xml:space="preserve">: a gasztronómiai kutatások során 14 személlyel készült videón vagy hanggal rögzített interjú, amelyek során egy ösztöndíjas a megkérdezettek életútját is feltárta a számukra fontos recepteken túl. Az oktatásban, nevelésben érintett dolgozókkal (óvoda, iskola), valamint a helyi kézművesekkel is készült interjú. Az interjúalanyok fontos körét képezte jó pár „helyi hős”, akik kollektív emlékezete, </w:t>
      </w:r>
      <w:r w:rsidRPr="00FD4354">
        <w:rPr>
          <w:rFonts w:ascii="Times New Roman" w:eastAsia="Times New Roman" w:hAnsi="Times New Roman" w:cs="Times New Roman"/>
          <w:sz w:val="24"/>
          <w:szCs w:val="24"/>
          <w:lang w:eastAsia="hu-HU"/>
        </w:rPr>
        <w:lastRenderedPageBreak/>
        <w:t xml:space="preserve">helyismerete széles tématerületi spektrumban (helytörténet, gasztronómiai kultúra, településközi kapcsolatok, szokások, ünnepek stb.) segítette a munkát. </w:t>
      </w:r>
    </w:p>
    <w:p w14:paraId="719A693E" w14:textId="77777777" w:rsidR="00FD4354" w:rsidRPr="00FD4354" w:rsidRDefault="00FD4354" w:rsidP="00FD4354">
      <w:pPr>
        <w:numPr>
          <w:ilvl w:val="0"/>
          <w:numId w:val="21"/>
        </w:num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i/>
          <w:sz w:val="24"/>
          <w:szCs w:val="24"/>
          <w:lang w:eastAsia="hu-HU"/>
        </w:rPr>
        <w:t>Mentális térképezés</w:t>
      </w:r>
      <w:r w:rsidRPr="00FD4354">
        <w:rPr>
          <w:rFonts w:ascii="Times New Roman" w:eastAsia="Times New Roman" w:hAnsi="Times New Roman" w:cs="Times New Roman"/>
          <w:sz w:val="24"/>
          <w:szCs w:val="24"/>
          <w:lang w:eastAsia="hu-HU"/>
        </w:rPr>
        <w:t xml:space="preserve">: a kísérleti módszer segítségével a kutatásban résztvevők kognitív/ mentális képét hívják elő különböző helyekről, terekről. A különböző módszerekkel (például kérdőíves adatfelvétel, rajzoltatás) felvett térképek a „fejekben élő képeket” mutatják meg, megfelelő elemszám esetén alkalmasak a településhez kapcsolódó interpretációra is (LETENYEI 2015). A felmérés során kérdőív és rajzoltatás-alapú mentális térképezésben a kutatók 52 kitöltést értek el. </w:t>
      </w:r>
    </w:p>
    <w:p w14:paraId="4BC451E7"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módszertan és a vizsgálódási körök kialakításakor fontos szempont volt, hogy azokat a kutatók a helyi igényekhez és célokhoz alakítsák. A projektbe bevont bakonyi települések esetén a fókusz a </w:t>
      </w:r>
      <w:r w:rsidRPr="00FD4354">
        <w:rPr>
          <w:rFonts w:ascii="Times New Roman" w:eastAsia="Times New Roman" w:hAnsi="Times New Roman" w:cs="Times New Roman"/>
          <w:i/>
          <w:sz w:val="24"/>
          <w:szCs w:val="24"/>
          <w:lang w:eastAsia="hu-HU"/>
        </w:rPr>
        <w:t>helyi társadalmi kihívások</w:t>
      </w:r>
      <w:r w:rsidRPr="00FD4354">
        <w:rPr>
          <w:rFonts w:ascii="Times New Roman" w:eastAsia="Times New Roman" w:hAnsi="Times New Roman" w:cs="Times New Roman"/>
          <w:sz w:val="24"/>
          <w:szCs w:val="24"/>
          <w:lang w:eastAsia="hu-HU"/>
        </w:rPr>
        <w:t xml:space="preserve">ra, az </w:t>
      </w:r>
      <w:r w:rsidRPr="00FD4354">
        <w:rPr>
          <w:rFonts w:ascii="Times New Roman" w:eastAsia="Times New Roman" w:hAnsi="Times New Roman" w:cs="Times New Roman"/>
          <w:i/>
          <w:sz w:val="24"/>
          <w:szCs w:val="24"/>
          <w:lang w:eastAsia="hu-HU"/>
        </w:rPr>
        <w:t>identitáselemek</w:t>
      </w:r>
      <w:r w:rsidRPr="00FD4354">
        <w:rPr>
          <w:rFonts w:ascii="Times New Roman" w:eastAsia="Times New Roman" w:hAnsi="Times New Roman" w:cs="Times New Roman"/>
          <w:sz w:val="24"/>
          <w:szCs w:val="24"/>
          <w:lang w:eastAsia="hu-HU"/>
        </w:rPr>
        <w:t xml:space="preserve">re, azok </w:t>
      </w:r>
      <w:r w:rsidRPr="00FD4354">
        <w:rPr>
          <w:rFonts w:ascii="Times New Roman" w:eastAsia="Times New Roman" w:hAnsi="Times New Roman" w:cs="Times New Roman"/>
          <w:i/>
          <w:sz w:val="24"/>
          <w:szCs w:val="24"/>
          <w:lang w:eastAsia="hu-HU"/>
        </w:rPr>
        <w:t>kulturális gyökerei</w:t>
      </w:r>
      <w:r w:rsidRPr="00FD4354">
        <w:rPr>
          <w:rFonts w:ascii="Times New Roman" w:eastAsia="Times New Roman" w:hAnsi="Times New Roman" w:cs="Times New Roman"/>
          <w:sz w:val="24"/>
          <w:szCs w:val="24"/>
          <w:lang w:eastAsia="hu-HU"/>
        </w:rPr>
        <w:t xml:space="preserve">re helyeződött. A szakértők foglalkoztak a </w:t>
      </w:r>
      <w:r w:rsidRPr="00FD4354">
        <w:rPr>
          <w:rFonts w:ascii="Times New Roman" w:eastAsia="Times New Roman" w:hAnsi="Times New Roman" w:cs="Times New Roman"/>
          <w:i/>
          <w:sz w:val="24"/>
          <w:szCs w:val="24"/>
          <w:lang w:eastAsia="hu-HU"/>
        </w:rPr>
        <w:t>települések funkciói</w:t>
      </w:r>
      <w:r w:rsidRPr="00FD4354">
        <w:rPr>
          <w:rFonts w:ascii="Times New Roman" w:eastAsia="Times New Roman" w:hAnsi="Times New Roman" w:cs="Times New Roman"/>
          <w:sz w:val="24"/>
          <w:szCs w:val="24"/>
          <w:lang w:eastAsia="hu-HU"/>
        </w:rPr>
        <w:t>val (lakóhely, úti cél), a természeti- és kulturális örökséggel, a településmarketing lehetőségeivel, és a települések közötti kapcsolatokkal, hálózatokkal. A kutatói cél mindegyik esetben nem csupán adott témakör kihívásainak alapos megismerése, okainak elemzése volt, hanem az adott kihívásokban rejlő fejlesztési lehetőségek átgondolása is.</w:t>
      </w:r>
    </w:p>
    <w:p w14:paraId="4586F7CA"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highlight w:val="yellow"/>
          <w:lang w:eastAsia="hu-HU"/>
        </w:rPr>
      </w:pPr>
      <w:r w:rsidRPr="00FD4354">
        <w:rPr>
          <w:rFonts w:ascii="Times New Roman" w:eastAsia="Times New Roman" w:hAnsi="Times New Roman" w:cs="Times New Roman"/>
          <w:sz w:val="24"/>
          <w:szCs w:val="24"/>
          <w:lang w:eastAsia="hu-HU"/>
        </w:rPr>
        <w:t xml:space="preserve">A projektmegvalósítás kiemelt szakasza volt a 2022 júliusában megvalósuló kéthetes </w:t>
      </w:r>
      <w:r w:rsidRPr="00FD4354">
        <w:rPr>
          <w:rFonts w:ascii="Times New Roman" w:eastAsia="Times New Roman" w:hAnsi="Times New Roman" w:cs="Times New Roman"/>
          <w:i/>
          <w:sz w:val="24"/>
          <w:szCs w:val="24"/>
          <w:lang w:eastAsia="hu-HU"/>
        </w:rPr>
        <w:t>terepmunka</w:t>
      </w:r>
      <w:r w:rsidRPr="00FD4354">
        <w:rPr>
          <w:rFonts w:ascii="Times New Roman" w:eastAsia="Times New Roman" w:hAnsi="Times New Roman" w:cs="Times New Roman"/>
          <w:sz w:val="24"/>
          <w:szCs w:val="24"/>
          <w:lang w:eastAsia="hu-HU"/>
        </w:rPr>
        <w:t>, amikor a szakértői csapatok felméréseket végeztek a települések rejtett kincseiről, értékeiről. A települési csoportok helyben laktak, munkájukat a polgármesterek és kapcsolattartók, valamint aktív civilek támogatták. A terepmunka során a csapatok települési és természeti bejárásokon vettek részt, interjúkat készítettek, egyeztetéseket folytattak a jelentős civil szervezetekkel, levéltári kutatást végeztek, hagyatékokat, gyűjteményeket tekintettek át. A hagyományos módszerek mellett készültek videóra rögzített életútinterjúk, próbavásárlások, sőt egy mentális térképezés is. A Bakony Ékkövei projekt első szakaszának zárásaként 2022 szeptemberében Bakonynánán mutatták be a kutató-fejlesztő csoportok a helyszíni feltáró munka eredményeit az érdeklődők számára.</w:t>
      </w:r>
    </w:p>
    <w:p w14:paraId="65DCD74C"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bCs/>
          <w:sz w:val="24"/>
          <w:szCs w:val="24"/>
          <w:lang w:eastAsia="hu-HU"/>
        </w:rPr>
      </w:pPr>
      <w:r w:rsidRPr="00FD4354">
        <w:rPr>
          <w:rFonts w:ascii="Times New Roman" w:eastAsia="Times New Roman" w:hAnsi="Times New Roman" w:cs="Times New Roman"/>
          <w:b/>
          <w:bCs/>
          <w:sz w:val="24"/>
          <w:szCs w:val="24"/>
          <w:lang w:eastAsia="hu-HU"/>
        </w:rPr>
        <w:t>5. Kutatási eredmények</w:t>
      </w:r>
    </w:p>
    <w:p w14:paraId="643C736C"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bCs/>
          <w:i/>
          <w:iCs/>
          <w:sz w:val="24"/>
          <w:szCs w:val="24"/>
          <w:lang w:eastAsia="hu-HU"/>
        </w:rPr>
      </w:pPr>
      <w:r w:rsidRPr="00FD4354">
        <w:rPr>
          <w:rFonts w:ascii="Times New Roman" w:eastAsia="Times New Roman" w:hAnsi="Times New Roman" w:cs="Times New Roman"/>
          <w:b/>
          <w:bCs/>
          <w:i/>
          <w:iCs/>
          <w:sz w:val="24"/>
          <w:szCs w:val="24"/>
          <w:lang w:eastAsia="hu-HU"/>
        </w:rPr>
        <w:t>5.1. Statisztikai adatelemzés, dokumentumelemzés</w:t>
      </w:r>
    </w:p>
    <w:p w14:paraId="7E24D6E3"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A négy településre vonatkozó statisztikai elemzés célja egyrészt a települések országos átlagokhoz képesti helyzetének feltárása, másrészt a települések egymáshoz viszonyított helyzetképének felvázolása. Mind a négy település kedvezőbb helyzetűnek értékelhető, mint a magyar falvak átlaga, mindnek van alapfokú oktatása (általános iskolája), népessége viszonylag stabil, nem kis részben a beköltözéseknek köszönhetően, a közeli városok munkahelyei (és munkásbuszai) miatt pedig a foglalkoztatási helyzet is kedvező. A térség emellett vonzó a turisták számára, sőt látogatottsága az utóbbi időben növekvő. Ugyanakkor fontos kiemelni, hogy az ide látogató, zömmel belföldi turisták nem önmagában az egyes településeket, vagy annak szűkebb körzetét, hanem inkább a Bakonyt kívánják felfedezni, és szinte kizárólag annak természeti jellegű, „nagy attrakcióira” kíváncsiak. Ezért egyrészt érdemesebb lenne a Zirc központú 15-20 településre kiterjedő nagyobb térségben gondolkodni, és legalább a turisztikai marketing terén közösen fellépniük. </w:t>
      </w:r>
    </w:p>
    <w:p w14:paraId="6654CECE"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Települési szinten össze kellene gyűjteni, és a helyi szállásadókat is bevonva hatékonyabban ki kellene ajánlani a kisebb értékeket – különös tekintettel a kulturális értékekre, a helyi gasztronómiára és a rendezvényekre. Érdemes ezért mindenütt elkészíteni egy értéktérképet, valamint együttműködést kezdeményezni a bakonyi turizmusban érdekelt vállalkozókkal, civil szervezetekkel és iskolákkal, akik munkája hatékonyan bevonható az örökségelemek fenntartásába. </w:t>
      </w:r>
    </w:p>
    <w:p w14:paraId="5E8E96EA"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lastRenderedPageBreak/>
        <w:t>Nagyesztergáron a helyi értékekkel kapcsolatban érdekes eredmény volt, hogy a települési monográfiákat sok interjúalany ismeri és létezik egy erős emlékezeti kultúra, amelyben néhány vitatott elemtől eltekintve nagyrészt konszenzus van a közelmúlt helytörténeti eseményeinek jelentőségéről. Ezt azonban a helyi fejlesztési dokumentumok, valamint az egyes programok egyelőre nem tükrözik. A tudatos, múltat (és az örökségelemeket) felhasználó, de a jövő generációra fókuszáló településfejlesztési és branding stratégia kialakítása nagy lehetőségeket rejt a település számára. Itt mind a kreatív- és kulturális turista útvonalakhoz való kapcsolódás, valamint az aktív turizmus vérkeringésébe való szervesebb bekapcsolódás cél lehet.</w:t>
      </w:r>
    </w:p>
    <w:p w14:paraId="1F40864C"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Az Országos Kéktúrára olyan szempontból lehet alapozni, hogy megfelelő értékkínálat esetén a túrázók visszatérhetnek a térségbe. A Bakonyba látogató turisták jobb elérését, és az általuk felkeresett látnivalók bővítését/diverzifikálását pedig nagymértékben segíthetné egy, a mai modern okoseszközök lehetőségeit kihasználó, okostelefonra letölthető turisztikai alkalmazás, a kisebb helyszíneken is felfestett/kitáblázott és/vagy QR-kódos útvonalak is.</w:t>
      </w:r>
    </w:p>
    <w:p w14:paraId="096CCBAF"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i/>
          <w:iCs/>
          <w:sz w:val="24"/>
          <w:szCs w:val="24"/>
          <w:lang w:eastAsia="hu-HU"/>
        </w:rPr>
      </w:pPr>
      <w:r w:rsidRPr="00FD4354">
        <w:rPr>
          <w:rFonts w:ascii="Times New Roman" w:eastAsia="Times New Roman" w:hAnsi="Times New Roman" w:cs="Times New Roman"/>
          <w:b/>
          <w:bCs/>
          <w:i/>
          <w:iCs/>
          <w:sz w:val="24"/>
          <w:szCs w:val="24"/>
          <w:lang w:eastAsia="hu-HU"/>
        </w:rPr>
        <w:t>5.2. Digitális tartalmak elemzése</w:t>
      </w:r>
    </w:p>
    <w:p w14:paraId="2DCEA349" w14:textId="77777777" w:rsidR="00FD4354" w:rsidRPr="00FD4354" w:rsidRDefault="00FD4354" w:rsidP="00FD4354">
      <w:pPr>
        <w:spacing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sz w:val="24"/>
          <w:szCs w:val="24"/>
        </w:rPr>
        <w:t xml:space="preserve">A turisztikai ismertség és imázs kapcsán érdekes eredményeket mutat a település vagy egy-egy termék (például a jásdi aktív vagy vallási turizmus) konkrét megjelenése, digitális lenyomata, kommunikációja. </w:t>
      </w:r>
    </w:p>
    <w:p w14:paraId="6B5AEF86" w14:textId="77777777" w:rsidR="00FD4354" w:rsidRPr="00FD4354" w:rsidRDefault="00FD4354" w:rsidP="00FD4354">
      <w:pPr>
        <w:spacing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sz w:val="24"/>
          <w:szCs w:val="24"/>
        </w:rPr>
        <w:t xml:space="preserve">Jelenleg például a jásdi települési arculatban a Bodzaház kiemelt szerepet kap (jásdiak a bodzások szlogennel), mely a Bodzaház ismertsége és a településre jellemző erősebb hívószavak (zöld, aktív, túra) miatt továbbgondolandó. Az erőforrások koncentrálása érdekében Jásd települést érdemes a középpontba helyezni és az ún. al-márkákat inkább a termék- és szolgáltatásfejlesztés egy magasabb szintjén bevezetni. A hozzáférhető attrakciók és szolgáltatások tükrében a „Lendületben Jásdon, a Bakonyban” szlogennek és logónak van a legnagyobb alátámasztottsága. Az arculat tükrözi Jásd legismertebb turisztikai kínálatát, melyet a következő szavakkal írhatunk le: zöld, aktív, túraközpont, Bakony, Gaja-patak. </w:t>
      </w:r>
    </w:p>
    <w:p w14:paraId="1AA3D6E0"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Nagyesztergár esetében a digitális tartalmak elemzése, valamint azok készítőivel történt interjúk a közösségi és helyi identitás, valamint a települési imázs hiányosságairól nyújtottak értékes információt. Mivel a közösség nagyívű és radikális változásokon ment keresztül az elmúlt 80 év során, s jelenleg is rendkívüli mértékben változik, a közösségi identitás nem szilárd. A települési imázs tekintetében ez azt eredményezi, hogy nincs tudatos, alaposan megtervezett megjelenítés.</w:t>
      </w:r>
      <w:r w:rsidRPr="00FD4354">
        <w:rPr>
          <w:rFonts w:ascii="Times New Roman" w:eastAsia="Times New Roman" w:hAnsi="Times New Roman" w:cs="Times New Roman"/>
          <w:b/>
          <w:bCs/>
          <w:sz w:val="24"/>
          <w:szCs w:val="24"/>
          <w:lang w:eastAsia="hu-HU"/>
        </w:rPr>
        <w:t xml:space="preserve"> </w:t>
      </w:r>
      <w:r w:rsidRPr="00FD4354">
        <w:rPr>
          <w:rFonts w:ascii="Times New Roman" w:eastAsia="Times New Roman" w:hAnsi="Times New Roman" w:cs="Times New Roman"/>
          <w:sz w:val="24"/>
          <w:szCs w:val="24"/>
          <w:lang w:eastAsia="hu-HU"/>
        </w:rPr>
        <w:t>Az imázselemek számát tekintve, illetve az információforrások viszonyában a község ismertsége kicsi. Így az a körülhatárolt arculat - amelyet a Bodzaház Jásdról közvetít – Nagyesztergár esetében nem adott, elsősorban a közösségi kohézió és a konszenzus hiányosságai miatt.</w:t>
      </w:r>
      <w:r w:rsidRPr="00FD4354">
        <w:rPr>
          <w:rFonts w:ascii="Times New Roman" w:eastAsia="Times New Roman" w:hAnsi="Times New Roman" w:cs="Times New Roman"/>
          <w:b/>
          <w:bCs/>
          <w:sz w:val="24"/>
          <w:szCs w:val="24"/>
          <w:lang w:eastAsia="hu-HU"/>
        </w:rPr>
        <w:t xml:space="preserve"> </w:t>
      </w:r>
      <w:r w:rsidRPr="00FD4354">
        <w:rPr>
          <w:rFonts w:ascii="Times New Roman" w:eastAsia="Times New Roman" w:hAnsi="Times New Roman" w:cs="Times New Roman"/>
          <w:sz w:val="24"/>
          <w:szCs w:val="24"/>
          <w:lang w:eastAsia="hu-HU"/>
        </w:rPr>
        <w:t>A természeti és kulturális értékelemek stratégiai megközelítésű, régióba ágyazott megjelenítése azonban a helyiek által megfogalmazott igény, amelyben a turizmusfejlesztés feltételét is látják.</w:t>
      </w:r>
    </w:p>
    <w:p w14:paraId="1A771822"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i/>
          <w:iCs/>
          <w:sz w:val="24"/>
          <w:szCs w:val="24"/>
          <w:lang w:eastAsia="hu-HU"/>
        </w:rPr>
      </w:pPr>
      <w:r w:rsidRPr="00FD4354">
        <w:rPr>
          <w:rFonts w:ascii="Times New Roman" w:eastAsia="Times New Roman" w:hAnsi="Times New Roman" w:cs="Times New Roman"/>
          <w:b/>
          <w:bCs/>
          <w:i/>
          <w:iCs/>
          <w:sz w:val="24"/>
          <w:szCs w:val="24"/>
          <w:lang w:eastAsia="hu-HU"/>
        </w:rPr>
        <w:t>5.3. Települési és természeti bejárások</w:t>
      </w:r>
    </w:p>
    <w:p w14:paraId="65E59223"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A </w:t>
      </w:r>
      <w:r w:rsidRPr="00FD4354">
        <w:rPr>
          <w:rFonts w:ascii="Times New Roman" w:eastAsia="Times New Roman" w:hAnsi="Times New Roman" w:cs="Times New Roman"/>
          <w:bCs/>
          <w:i/>
          <w:sz w:val="24"/>
          <w:szCs w:val="24"/>
          <w:lang w:eastAsia="hu-HU"/>
        </w:rPr>
        <w:t>természeti és kulturális értékek feltárása</w:t>
      </w:r>
      <w:r w:rsidRPr="00FD4354">
        <w:rPr>
          <w:rFonts w:ascii="Times New Roman" w:eastAsia="Times New Roman" w:hAnsi="Times New Roman" w:cs="Times New Roman"/>
          <w:bCs/>
          <w:sz w:val="24"/>
          <w:szCs w:val="24"/>
          <w:lang w:eastAsia="hu-HU"/>
        </w:rPr>
        <w:t xml:space="preserve"> települési és településközi csapatokban zajlott. Bakonynánán két dedikált kutató foglalkozott az értékek feltárásával, akik többször együttműködtek társtelepülési turizmuskutató (Jásd), botanikus és geológus (Borzavár) csapattagokkal is. A természeti és kulturális értékek védelme kapcsán felértékelődik a jelentősége a természeti környezet változásaira reagáló intézkedéseknek. Fontos adottság, hogy a Bakony különleges főkarsztvíz tárolója összeköttetést jelent további, Nyugat-Pannon térségbeli víztestekkel és karsztforrásokkal. A klímaváltozás hatására a felszín alatti vizek vízszintje és hozama is várhatóan csökken, a terepbejárások alkalmával tapasztalható volt, hogy a jelenlegi erős aszály hatására a térségi rétegvíz és karsztvíz források mintegy 40%-a már (átmenetileg) kiszáradt. Így a felszíni vizek, patakok és erek hozama is erősen csökkent, például </w:t>
      </w:r>
      <w:r w:rsidRPr="00FD4354">
        <w:rPr>
          <w:rFonts w:ascii="Times New Roman" w:eastAsia="Times New Roman" w:hAnsi="Times New Roman" w:cs="Times New Roman"/>
          <w:bCs/>
          <w:sz w:val="24"/>
          <w:szCs w:val="24"/>
          <w:lang w:eastAsia="hu-HU"/>
        </w:rPr>
        <w:lastRenderedPageBreak/>
        <w:t xml:space="preserve">a Gaja-patak a felső szakaszán teljesen kiszáradt. A terepmunka során csoportosan, párban vagy egyedül mintegy 110 kilométer gyalogos, illetve közel 40 km autós fotódokumentált eredményhalmaz gyűlt össze, amelyek megalapozták egy természeti értékleltár és fotódokumentáció elkészítését. A bejárt útvonalak egy része alkalmasnak bizonyult </w:t>
      </w:r>
      <w:r w:rsidRPr="00FD4354">
        <w:rPr>
          <w:rFonts w:ascii="Times New Roman" w:eastAsia="Times New Roman" w:hAnsi="Times New Roman" w:cs="Times New Roman"/>
          <w:sz w:val="24"/>
          <w:szCs w:val="24"/>
          <w:lang w:eastAsia="hu-HU"/>
        </w:rPr>
        <w:t xml:space="preserve">– </w:t>
      </w:r>
      <w:r w:rsidRPr="00FD4354">
        <w:rPr>
          <w:rFonts w:ascii="Times New Roman" w:eastAsia="Times New Roman" w:hAnsi="Times New Roman" w:cs="Times New Roman"/>
          <w:bCs/>
          <w:sz w:val="24"/>
          <w:szCs w:val="24"/>
          <w:lang w:eastAsia="hu-HU"/>
        </w:rPr>
        <w:t xml:space="preserve">elsősorban meglévő turistautakra, biztonsággal bejárható földutakra alapozva </w:t>
      </w:r>
      <w:r w:rsidRPr="00FD4354">
        <w:rPr>
          <w:rFonts w:ascii="Times New Roman" w:eastAsia="Times New Roman" w:hAnsi="Times New Roman" w:cs="Times New Roman"/>
          <w:sz w:val="24"/>
          <w:szCs w:val="24"/>
          <w:lang w:eastAsia="hu-HU"/>
        </w:rPr>
        <w:t xml:space="preserve">– </w:t>
      </w:r>
      <w:r w:rsidRPr="00FD4354">
        <w:rPr>
          <w:rFonts w:ascii="Times New Roman" w:eastAsia="Times New Roman" w:hAnsi="Times New Roman" w:cs="Times New Roman"/>
          <w:bCs/>
          <w:sz w:val="24"/>
          <w:szCs w:val="24"/>
          <w:lang w:eastAsia="hu-HU"/>
        </w:rPr>
        <w:t>egymással összefüggő (természetismereti) rövidebb séták és hosszabb tematikus séták, túraútvonalak javaslatainak kialakítására.</w:t>
      </w:r>
    </w:p>
    <w:p w14:paraId="332434FD"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i/>
          <w:iCs/>
          <w:sz w:val="24"/>
          <w:szCs w:val="24"/>
          <w:lang w:eastAsia="hu-HU"/>
        </w:rPr>
      </w:pPr>
      <w:r w:rsidRPr="00FD4354">
        <w:rPr>
          <w:rFonts w:ascii="Times New Roman" w:eastAsia="Times New Roman" w:hAnsi="Times New Roman" w:cs="Times New Roman"/>
          <w:b/>
          <w:bCs/>
          <w:i/>
          <w:iCs/>
          <w:sz w:val="24"/>
          <w:szCs w:val="24"/>
          <w:lang w:eastAsia="hu-HU"/>
        </w:rPr>
        <w:t>5.4. Strukturált interjúk</w:t>
      </w:r>
    </w:p>
    <w:p w14:paraId="0F119372" w14:textId="77777777" w:rsidR="00FD4354" w:rsidRPr="00FD4354" w:rsidRDefault="00FD4354" w:rsidP="00FD4354">
      <w:pPr>
        <w:spacing w:after="120" w:line="240" w:lineRule="auto"/>
        <w:jc w:val="both"/>
        <w:rPr>
          <w:rFonts w:ascii="Times New Roman" w:eastAsia="Calibri" w:hAnsi="Times New Roman" w:cs="Times New Roman"/>
          <w:sz w:val="24"/>
        </w:rPr>
      </w:pPr>
      <w:r w:rsidRPr="00FD4354">
        <w:rPr>
          <w:rFonts w:ascii="Times New Roman" w:eastAsia="Calibri" w:hAnsi="Times New Roman" w:cs="Times New Roman"/>
          <w:sz w:val="24"/>
        </w:rPr>
        <w:t xml:space="preserve">A </w:t>
      </w:r>
      <w:r w:rsidRPr="00FD4354">
        <w:rPr>
          <w:rFonts w:ascii="Times New Roman" w:eastAsia="Calibri" w:hAnsi="Times New Roman" w:cs="Times New Roman"/>
          <w:i/>
          <w:sz w:val="24"/>
        </w:rPr>
        <w:t>strukturált interjúk során</w:t>
      </w:r>
      <w:r w:rsidRPr="00FD4354">
        <w:rPr>
          <w:rFonts w:ascii="Times New Roman" w:eastAsia="Calibri" w:hAnsi="Times New Roman" w:cs="Times New Roman"/>
          <w:sz w:val="24"/>
        </w:rPr>
        <w:t xml:space="preserve"> Jásdon a helyiek megerősítették, hogy a fiatalok szeretnek itt élni, fontos hívószó a család, a helyi közösség, az itt lakó emberek. Többen tervezik, hogy tanulmányaik után visszajönnek vagy már most itt vettek, illetve újítottak fel házat. Az aktív népesség tagjai alapvetően ingáznak a közeli városokba, helyben végezhető munkából (erdészet) kevesen élnek meg. A népességmegtartás vagy –bővülés egyik akadálya az ingatlanok magas értéke és a szabad építési telkek vagy eladó családi házak hiánya. A falu – pályázati forrásra várva – tervezi az új telkek kialakítását, mely két helyszínen (utcák folytatásával) is megvalósítható. </w:t>
      </w:r>
    </w:p>
    <w:p w14:paraId="30524578" w14:textId="77777777" w:rsidR="00FD4354" w:rsidRPr="00FD4354" w:rsidRDefault="00FD4354" w:rsidP="00FD4354">
      <w:pPr>
        <w:spacing w:after="120" w:line="240" w:lineRule="auto"/>
        <w:jc w:val="both"/>
        <w:rPr>
          <w:rFonts w:ascii="Times New Roman" w:eastAsia="Calibri" w:hAnsi="Times New Roman" w:cs="Times New Roman"/>
          <w:sz w:val="24"/>
        </w:rPr>
      </w:pPr>
      <w:r w:rsidRPr="00FD4354">
        <w:rPr>
          <w:rFonts w:ascii="Times New Roman" w:eastAsia="Calibri" w:hAnsi="Times New Roman" w:cs="Times New Roman"/>
          <w:sz w:val="24"/>
        </w:rPr>
        <w:t xml:space="preserve">Jásd, mint lakóhely belső imázsa pozitív; a helyiekkel folytatott beszélgetések eredményeként a következő kulcsszavakkal (2. sz. ábra) írható le a település: </w:t>
      </w:r>
    </w:p>
    <w:p w14:paraId="5F3FEA41" w14:textId="77777777" w:rsidR="00FD4354" w:rsidRPr="00FD4354" w:rsidRDefault="00FD4354" w:rsidP="00FD4354">
      <w:pPr>
        <w:spacing w:after="120" w:line="288" w:lineRule="auto"/>
        <w:contextualSpacing/>
        <w:jc w:val="center"/>
        <w:rPr>
          <w:rFonts w:ascii="Times New Roman" w:eastAsia="Calibri" w:hAnsi="Times New Roman" w:cs="Times New Roman"/>
          <w:bCs/>
          <w:sz w:val="24"/>
          <w:szCs w:val="24"/>
        </w:rPr>
      </w:pPr>
      <w:r w:rsidRPr="00FD4354">
        <w:rPr>
          <w:rFonts w:ascii="Times New Roman" w:eastAsia="Calibri" w:hAnsi="Times New Roman" w:cs="Times New Roman"/>
          <w:noProof/>
          <w:lang w:eastAsia="hu-HU"/>
        </w:rPr>
        <w:drawing>
          <wp:anchor distT="0" distB="0" distL="114300" distR="114300" simplePos="0" relativeHeight="251660288" behindDoc="0" locked="0" layoutInCell="1" allowOverlap="1" wp14:anchorId="01917C8E" wp14:editId="4563F1EF">
            <wp:simplePos x="0" y="0"/>
            <wp:positionH relativeFrom="column">
              <wp:posOffset>136525</wp:posOffset>
            </wp:positionH>
            <wp:positionV relativeFrom="paragraph">
              <wp:posOffset>221615</wp:posOffset>
            </wp:positionV>
            <wp:extent cx="5486400" cy="3200400"/>
            <wp:effectExtent l="0" t="0" r="19050" b="1905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FD4354">
        <w:rPr>
          <w:rFonts w:ascii="Times New Roman" w:eastAsia="Calibri" w:hAnsi="Times New Roman" w:cs="Times New Roman"/>
          <w:bCs/>
          <w:sz w:val="24"/>
          <w:szCs w:val="24"/>
        </w:rPr>
        <w:t>2. ábra: Jásd, mint lakóhely és úti cél imázsa a helyi lakosság szemszögéből</w:t>
      </w:r>
    </w:p>
    <w:p w14:paraId="320A9B67" w14:textId="77777777" w:rsidR="00FD4354" w:rsidRPr="00FD4354" w:rsidRDefault="00FD4354" w:rsidP="00FD4354">
      <w:pPr>
        <w:spacing w:after="120" w:line="288" w:lineRule="auto"/>
        <w:jc w:val="center"/>
        <w:rPr>
          <w:rFonts w:ascii="Times New Roman" w:eastAsia="Calibri" w:hAnsi="Times New Roman" w:cs="Times New Roman"/>
          <w:bCs/>
          <w:i/>
          <w:sz w:val="24"/>
          <w:szCs w:val="24"/>
        </w:rPr>
      </w:pPr>
      <w:r w:rsidRPr="00FD4354">
        <w:rPr>
          <w:rFonts w:ascii="Times New Roman" w:eastAsia="Calibri" w:hAnsi="Times New Roman" w:cs="Times New Roman"/>
          <w:bCs/>
          <w:i/>
          <w:sz w:val="24"/>
          <w:szCs w:val="24"/>
        </w:rPr>
        <w:t>Forrás: saját szerkesztés</w:t>
      </w:r>
    </w:p>
    <w:p w14:paraId="5BF88573" w14:textId="77777777" w:rsidR="00FD4354" w:rsidRPr="00FD4354" w:rsidRDefault="00FD4354" w:rsidP="00FD4354">
      <w:pPr>
        <w:spacing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bCs/>
          <w:sz w:val="24"/>
          <w:szCs w:val="24"/>
        </w:rPr>
        <w:t xml:space="preserve">Nagyesztergáron a strukturált és félig strukturált interjúkban a kutatók a közösséget összekovácsoló kommunikatív emlékezeti elemekre és az etnikai és közösségi identitás alaktanára koncentráltak. Itt meglepő eredmény, hogy a település önmagát, mint sváb falut ábrázolja, azonban mostanára többnyire e fogalom elvesztette valós tartalmát. </w:t>
      </w:r>
      <w:r w:rsidRPr="00FD4354">
        <w:rPr>
          <w:rFonts w:ascii="Times New Roman" w:eastAsia="Calibri" w:hAnsi="Times New Roman" w:cs="Times New Roman"/>
          <w:sz w:val="24"/>
          <w:szCs w:val="24"/>
        </w:rPr>
        <w:t xml:space="preserve">A község próbál építeni a hagyományokra, ám az idősebb generációk kihalásával a sváb nyelv és hagyományok elvesznek. </w:t>
      </w:r>
    </w:p>
    <w:p w14:paraId="68246E1B" w14:textId="77777777" w:rsidR="00FD4354" w:rsidRPr="00FD4354" w:rsidRDefault="00FD4354" w:rsidP="00FD4354">
      <w:pPr>
        <w:spacing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sz w:val="24"/>
          <w:szCs w:val="24"/>
        </w:rPr>
        <w:t xml:space="preserve">Identitásában a falu lakosságának valamivel több, mint 10 százaléka ugyan még kötődik a svábsághoz, ez azonban már csak egy egyre gyengülő kulturális identitásként van jelen. E folyamatokat megállítani csak egy nagyon komoly reformmal lehet, melynek során rendkívüli </w:t>
      </w:r>
      <w:r w:rsidRPr="00FD4354">
        <w:rPr>
          <w:rFonts w:ascii="Times New Roman" w:eastAsia="Calibri" w:hAnsi="Times New Roman" w:cs="Times New Roman"/>
          <w:sz w:val="24"/>
          <w:szCs w:val="24"/>
        </w:rPr>
        <w:lastRenderedPageBreak/>
        <w:t xml:space="preserve">minőségnöveléssel, alkalmazható német tudás és német kapcsolatrendszer (pl. német diákcsere program) felkínálásával a helyi, de máshova járó gyerekeket a település átcsábítja saját intézményeibe.  Szociális és kulturális értelemben ugyanakkor nagy lehetőség van egy helyi kötődésű, erős közösség létrehozásában, ehhez azonban az önkormányzat lehetőségeit meghaladó közösségfejlesztési programra, civil kezdeményezések számára kedvező légkörre, valamint egy a mostaninál magasabb színvonalú, „elit” oktatás létrehozására van szükség. A fejlesztési javaslatok (akár a szolgáltató falu és az ökoturizmus irányába; akár a helyi termékfejlesztés és a közös értékláncok; akár a kultúra- és tudásmegosztás irányába gondolkodunk) mind a regionális keret relevanciáját hangsúlyozzák. </w:t>
      </w:r>
    </w:p>
    <w:p w14:paraId="58A10023"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A </w:t>
      </w:r>
      <w:r w:rsidRPr="00FD4354">
        <w:rPr>
          <w:rFonts w:ascii="Times New Roman" w:eastAsia="Times New Roman" w:hAnsi="Times New Roman" w:cs="Times New Roman"/>
          <w:bCs/>
          <w:i/>
          <w:sz w:val="24"/>
          <w:szCs w:val="24"/>
          <w:lang w:eastAsia="hu-HU"/>
        </w:rPr>
        <w:t>strukturált interjúk sorában egy ösztöndíjas a településközi kapcsolatok, együttműködés feltárása céljából</w:t>
      </w:r>
      <w:r w:rsidRPr="00FD4354">
        <w:rPr>
          <w:rFonts w:ascii="Times New Roman" w:eastAsia="Times New Roman" w:hAnsi="Times New Roman" w:cs="Times New Roman"/>
          <w:bCs/>
          <w:sz w:val="24"/>
          <w:szCs w:val="24"/>
          <w:lang w:eastAsia="hu-HU"/>
        </w:rPr>
        <w:t xml:space="preserve"> mind a négy település polgármesterét interjú keretében kérdezte az együttműködési lehetőségekről és gyakorlatokról. A vizsgált falvak mindegyikében tapasztalhatók az eltérő érdekekből fakadó konfliktusok is a szereplők között, de ez egyrészt természetes, másrészt a közös értékek ezt mederben tartják. Az önkormányzatok közötti együttműködésnek több hivatalos intézményi színtere van (mint pl. a körjegyzőség, vagy az országgyűlési képviselői körzetek).</w:t>
      </w:r>
    </w:p>
    <w:p w14:paraId="338F21FF"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Emellett kisebb-nagyobb szerepe van a járási társulásoknak (járási tekintetben három település a zirci, Jásd a várpalotai egységhez tartozik), a Bakonyi Önkormányzatok Szövetségének, a LEADER közösségeknek, illetve a polgármesterek közötti informális kapcsolatoknak is. A négy település vezetése fejlesztéseiben eltérő stratégiát követ, közös pályázás helyett inkább csak egyeztetnek egymással (és a térségi országgyűlési képviselővel) különálló elképzelésekről. </w:t>
      </w:r>
    </w:p>
    <w:p w14:paraId="151800F7"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sz w:val="24"/>
          <w:szCs w:val="24"/>
          <w:lang w:eastAsia="hu-HU"/>
        </w:rPr>
        <w:t>Az egymáshoz közeli települések között egyes praktikus ügyekben (pl. közétkeztetés megszervezése) van feladatmegosztás, lakóik értesülnek egymás programjairól, igyekeznek a saját programnaptárjukat úgy kialakítani, hogy az ütközést elkerüljék, és látogatják egymás rendezvényeit. Ugyanakkor az 1990 előtti társközségi viszonyok terhes öröksége máig kísért, és valamennyien Zirc kihagyásával keresik a kapcsolatokat egymással.</w:t>
      </w:r>
    </w:p>
    <w:p w14:paraId="54E9C897"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bCs/>
          <w:i/>
          <w:iCs/>
          <w:sz w:val="24"/>
          <w:szCs w:val="24"/>
          <w:lang w:eastAsia="hu-HU"/>
        </w:rPr>
      </w:pPr>
      <w:r w:rsidRPr="00FD4354">
        <w:rPr>
          <w:rFonts w:ascii="Times New Roman" w:eastAsia="Times New Roman" w:hAnsi="Times New Roman" w:cs="Times New Roman"/>
          <w:b/>
          <w:bCs/>
          <w:i/>
          <w:iCs/>
          <w:sz w:val="24"/>
          <w:szCs w:val="24"/>
          <w:lang w:eastAsia="hu-HU"/>
        </w:rPr>
        <w:t>5.5. Videóra rögzített életút-interjúk</w:t>
      </w:r>
    </w:p>
    <w:p w14:paraId="27C11FED" w14:textId="77777777" w:rsidR="00FD4354" w:rsidRPr="00FD4354" w:rsidRDefault="00FD4354" w:rsidP="00FD4354">
      <w:pPr>
        <w:shd w:val="clear" w:color="auto" w:fill="FFFFFF"/>
        <w:spacing w:before="120" w:after="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i/>
          <w:sz w:val="24"/>
          <w:szCs w:val="24"/>
          <w:lang w:eastAsia="hu-HU"/>
        </w:rPr>
        <w:t xml:space="preserve">Bakonynánán a sváb gasztronómiai hagyományok élénken élnek a helyi lakosság körében, valamint a település legnagyobb számú érdeklődőre számot tartó rendezvénye is e témához kapcsolódik. </w:t>
      </w:r>
      <w:r w:rsidRPr="00FD4354">
        <w:rPr>
          <w:rFonts w:ascii="Times New Roman" w:eastAsia="Times New Roman" w:hAnsi="Times New Roman" w:cs="Times New Roman"/>
          <w:bCs/>
          <w:sz w:val="24"/>
          <w:szCs w:val="24"/>
          <w:lang w:eastAsia="hu-HU"/>
        </w:rPr>
        <w:t xml:space="preserve">2007-ben jelent meg a „Régi sváb ételek Bakonynánáról” c. kiadvány, amelyben olyan unikális recepteket találhatunk, mint épp a véres sterc vagy a háborús torta. A gasztronómiai kutatás célja volt a megkérdezettek életútját is feltárni a számukra fontos recepteken túl. Az előzetes várakozás ellenére, a 2007-es füzetecskét a helyiek kevéssé ismerték, de feltárult nagyon sok sváb recept. A személyes történetek jellegzetes közös pontjai a gyermekkori jutalomfalatok, a vasárnapi menü, a karácsonyi és más ünnepnapokhoz kapcsolódó étkezési szokások. A történetekben felidéződnek a szomszédos települések ünnepei, búcsúi. A sorozat az „Életek és ételek” elnevezést kapta, amely 14 video-interjúból áll, jellemzően a falu idősebb és fiatalabb lakosaival. Az eredmények segíthetik Bakonynána régi és új lakosai között a kapcsolódást, valamint Bakonynána helyét is erősítik a Bakony-Balaton régió gasztronómiai kultúrájában. A sorozatot készítő ösztöndíjas az egyes részeket saját youtube csatornáján még a szeptemberi záróesemény előtt publikálta (KESZEY (2022): https://youtube.com/playlist?list=PL8h5UM-YpfS4uOqf18d469ILSPBFsJbfl. </w:t>
      </w:r>
    </w:p>
    <w:p w14:paraId="36F27D1F"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Az életútinterjúkhoz készült grafikai arculattervezést a jásdi csapatban közreműködő grafikus csapattag készítette.) Az életútinterjúk külön-külön, de sorozatként is felfedik azt a közelmúltbéli viszonyrendszert, amikor a közösség megtartó ereje a nehezebb helyzetekben is megtartotta a tagjait. </w:t>
      </w:r>
    </w:p>
    <w:p w14:paraId="0FB6E6AE"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bCs/>
          <w:sz w:val="24"/>
          <w:szCs w:val="24"/>
          <w:lang w:eastAsia="hu-HU"/>
        </w:rPr>
      </w:pPr>
    </w:p>
    <w:p w14:paraId="76BC6192"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i/>
          <w:iCs/>
          <w:sz w:val="24"/>
          <w:szCs w:val="24"/>
          <w:lang w:eastAsia="hu-HU"/>
        </w:rPr>
      </w:pPr>
      <w:r w:rsidRPr="00FD4354">
        <w:rPr>
          <w:rFonts w:ascii="Times New Roman" w:eastAsia="Times New Roman" w:hAnsi="Times New Roman" w:cs="Times New Roman"/>
          <w:b/>
          <w:bCs/>
          <w:i/>
          <w:iCs/>
          <w:sz w:val="24"/>
          <w:szCs w:val="24"/>
          <w:lang w:eastAsia="hu-HU"/>
        </w:rPr>
        <w:lastRenderedPageBreak/>
        <w:t xml:space="preserve">5.6. Próbavásárlások </w:t>
      </w:r>
    </w:p>
    <w:p w14:paraId="33F81F5E"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Az elmúlt időszakban Jásdon számtalan lépést, konkrét fejlesztést kezdeményeztek annak érdekében, hogy a falut és a Bodzaházat összekössék, a bodzára alapozva saját márka jöjjön létre (Bodzaház megnyitása, a bodzára épülő ételek, rendezvények, ajándéktárgyak, az arculati megújulás, marketingkommunikációs elemek). </w:t>
      </w:r>
      <w:r w:rsidRPr="00FD4354">
        <w:rPr>
          <w:rFonts w:ascii="Times New Roman" w:eastAsia="Times New Roman" w:hAnsi="Times New Roman" w:cs="Times New Roman"/>
          <w:bCs/>
          <w:sz w:val="24"/>
          <w:szCs w:val="24"/>
          <w:lang w:eastAsia="hu-HU"/>
        </w:rPr>
        <w:t xml:space="preserve">2022. nyarán többek között a jásdi Bodzaházat is felkeresték a kutatók. A többszöri látogatás és próbavásárlás, valamint a helyiekkel folytatott beszélgetés alapján a következő fejlesztések körvonalazódnak: </w:t>
      </w:r>
    </w:p>
    <w:p w14:paraId="50D82068" w14:textId="77777777" w:rsidR="00FD4354" w:rsidRPr="00FD4354" w:rsidRDefault="00FD4354" w:rsidP="00FD4354">
      <w:pPr>
        <w:numPr>
          <w:ilvl w:val="0"/>
          <w:numId w:val="16"/>
        </w:num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w:t>
      </w:r>
      <w:r w:rsidRPr="00FD4354">
        <w:rPr>
          <w:rFonts w:ascii="Times New Roman" w:eastAsia="Times New Roman" w:hAnsi="Times New Roman" w:cs="Times New Roman"/>
          <w:i/>
          <w:sz w:val="24"/>
          <w:szCs w:val="24"/>
          <w:lang w:eastAsia="hu-HU"/>
        </w:rPr>
        <w:t>helyi kötődés erősítése</w:t>
      </w:r>
      <w:r w:rsidRPr="00FD4354">
        <w:rPr>
          <w:rFonts w:ascii="Times New Roman" w:eastAsia="Times New Roman" w:hAnsi="Times New Roman" w:cs="Times New Roman"/>
          <w:sz w:val="24"/>
          <w:szCs w:val="24"/>
          <w:lang w:eastAsia="hu-HU"/>
        </w:rPr>
        <w:t xml:space="preserve"> a Bodzaházban vagy a közösségi téren megvalósított populáris programok szervezésével, nyílt nap meghirdetésével.</w:t>
      </w:r>
    </w:p>
    <w:p w14:paraId="0E6005A8" w14:textId="77777777" w:rsidR="00FD4354" w:rsidRPr="00FD4354" w:rsidRDefault="00FD4354" w:rsidP="00FD4354">
      <w:pPr>
        <w:numPr>
          <w:ilvl w:val="0"/>
          <w:numId w:val="16"/>
        </w:num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w:t>
      </w:r>
      <w:r w:rsidRPr="00FD4354">
        <w:rPr>
          <w:rFonts w:ascii="Times New Roman" w:eastAsia="Times New Roman" w:hAnsi="Times New Roman" w:cs="Times New Roman"/>
          <w:i/>
          <w:sz w:val="24"/>
          <w:szCs w:val="24"/>
          <w:lang w:eastAsia="hu-HU"/>
        </w:rPr>
        <w:t>bodza megjelenítése</w:t>
      </w:r>
      <w:r w:rsidRPr="00FD4354">
        <w:rPr>
          <w:rFonts w:ascii="Times New Roman" w:eastAsia="Times New Roman" w:hAnsi="Times New Roman" w:cs="Times New Roman"/>
          <w:sz w:val="24"/>
          <w:szCs w:val="24"/>
          <w:lang w:eastAsia="hu-HU"/>
        </w:rPr>
        <w:t xml:space="preserve"> különböző termékekben, amit a jásdi Bodzaházban meg lehet vásárolni, ajándékként hazavinni (például: bodzaszörp, bodzás cukorka, bodzaszappan, bodza mintájú kötény, bodzás mintájú vászontáska, bodzás fülbevaló). </w:t>
      </w:r>
    </w:p>
    <w:p w14:paraId="14C5C9A3" w14:textId="77777777" w:rsidR="00FD4354" w:rsidRPr="00FD4354" w:rsidRDefault="00FD4354" w:rsidP="00FD4354">
      <w:pPr>
        <w:numPr>
          <w:ilvl w:val="0"/>
          <w:numId w:val="16"/>
        </w:num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vendégházakban, szálláshelyeken ezt a </w:t>
      </w:r>
      <w:r w:rsidRPr="00FD4354">
        <w:rPr>
          <w:rFonts w:ascii="Times New Roman" w:eastAsia="Times New Roman" w:hAnsi="Times New Roman" w:cs="Times New Roman"/>
          <w:i/>
          <w:sz w:val="24"/>
          <w:szCs w:val="24"/>
          <w:lang w:eastAsia="hu-HU"/>
        </w:rPr>
        <w:t>helyi terméket</w:t>
      </w:r>
      <w:r w:rsidRPr="00FD4354">
        <w:rPr>
          <w:rFonts w:ascii="Times New Roman" w:eastAsia="Times New Roman" w:hAnsi="Times New Roman" w:cs="Times New Roman"/>
          <w:sz w:val="24"/>
          <w:szCs w:val="24"/>
          <w:lang w:eastAsia="hu-HU"/>
        </w:rPr>
        <w:t xml:space="preserve"> meglepetésként (szív alakú bodzaszappan) vagy bekészítésként, extra díjért (bodzás süti/torta, bodzaszörp, bodzabor) is érdemes alkalmazni. Bodzával kapcsolatos ajándéktárgy lista (link vagy QR kód a honlap menüjére) a szálláshelyek által írt, visszaigazolás mellett küldött programajánlóban is szerepeljen. </w:t>
      </w:r>
    </w:p>
    <w:p w14:paraId="02D53042" w14:textId="77777777" w:rsidR="00FD4354" w:rsidRPr="00FD4354" w:rsidRDefault="00FD4354" w:rsidP="00FD4354">
      <w:pPr>
        <w:numPr>
          <w:ilvl w:val="0"/>
          <w:numId w:val="16"/>
        </w:num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w:t>
      </w:r>
      <w:r w:rsidRPr="00FD4354">
        <w:rPr>
          <w:rFonts w:ascii="Times New Roman" w:eastAsia="Times New Roman" w:hAnsi="Times New Roman" w:cs="Times New Roman"/>
          <w:i/>
          <w:sz w:val="24"/>
          <w:szCs w:val="24"/>
          <w:lang w:eastAsia="hu-HU"/>
        </w:rPr>
        <w:t>bodza különleges és Jásdra jellemző motívum</w:t>
      </w:r>
      <w:r w:rsidRPr="00FD4354">
        <w:rPr>
          <w:rFonts w:ascii="Times New Roman" w:eastAsia="Times New Roman" w:hAnsi="Times New Roman" w:cs="Times New Roman"/>
          <w:sz w:val="24"/>
          <w:szCs w:val="24"/>
          <w:lang w:eastAsia="hu-HU"/>
        </w:rPr>
        <w:t xml:space="preserve"> lehet a települési rendezvények dekorációja során (ötletpályázat kiírása), valamint igény esetén a Bodzaházban tartott esküvői miliőben is megjelenhet a „hely szelleme”. </w:t>
      </w:r>
    </w:p>
    <w:p w14:paraId="47A916BD" w14:textId="77777777" w:rsidR="00FD4354" w:rsidRPr="00FD4354" w:rsidRDefault="00FD4354" w:rsidP="00FD4354">
      <w:pPr>
        <w:numPr>
          <w:ilvl w:val="0"/>
          <w:numId w:val="16"/>
        </w:num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i/>
          <w:sz w:val="24"/>
          <w:szCs w:val="24"/>
          <w:lang w:eastAsia="hu-HU"/>
        </w:rPr>
        <w:t>Tartalomfejlesztéssel</w:t>
      </w:r>
      <w:r w:rsidRPr="00FD4354">
        <w:rPr>
          <w:rFonts w:ascii="Times New Roman" w:eastAsia="Times New Roman" w:hAnsi="Times New Roman" w:cs="Times New Roman"/>
          <w:sz w:val="24"/>
          <w:szCs w:val="24"/>
          <w:lang w:eastAsia="hu-HU"/>
        </w:rPr>
        <w:t xml:space="preserve"> a bodzát érdemes összekötni az egészséggel, azaz a bodza pozitív élettani hatásait kidomborítani és kommunikálni (honlap: „miért jó, ha bodzát eszel/iszol?” „hogyan érdemes a bodza levelét/virágát/stb. használni?”). </w:t>
      </w:r>
    </w:p>
    <w:p w14:paraId="3CDA246F"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i/>
          <w:iCs/>
          <w:sz w:val="24"/>
          <w:szCs w:val="24"/>
          <w:lang w:eastAsia="hu-HU"/>
        </w:rPr>
      </w:pPr>
      <w:r w:rsidRPr="00FD4354">
        <w:rPr>
          <w:rFonts w:ascii="Times New Roman" w:eastAsia="Times New Roman" w:hAnsi="Times New Roman" w:cs="Times New Roman"/>
          <w:b/>
          <w:bCs/>
          <w:i/>
          <w:iCs/>
          <w:sz w:val="24"/>
          <w:szCs w:val="24"/>
          <w:lang w:eastAsia="hu-HU"/>
        </w:rPr>
        <w:t>5.7. Mentális térképezés</w:t>
      </w:r>
    </w:p>
    <w:p w14:paraId="17B483A7"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i/>
          <w:sz w:val="24"/>
          <w:szCs w:val="24"/>
          <w:lang w:eastAsia="hu-HU"/>
        </w:rPr>
        <w:t xml:space="preserve">Bakonynánán a mentális térképezés során </w:t>
      </w:r>
      <w:r w:rsidRPr="00FD4354">
        <w:rPr>
          <w:rFonts w:ascii="Times New Roman" w:eastAsia="Times New Roman" w:hAnsi="Times New Roman" w:cs="Times New Roman"/>
          <w:bCs/>
          <w:sz w:val="24"/>
          <w:szCs w:val="24"/>
          <w:lang w:eastAsia="hu-HU"/>
        </w:rPr>
        <w:t>több korcsoportban és érintetti körben rajzos és kérdőív-alapú mentális térképezéssel gyűjtöttünk információt arról, milyen nevezetességeket tudnak a faluról felidézni az itt lakók, mire büszkék, min szeretnének javítani. A terepmunka alatt a településen Erzsébet-tábor folyt, ahová a kísérletért felelős ösztöndíjas bekapcsolódott. Az első válaszadók között így iskolások, majd az ő szüleik, hozzátartozóik szerepeltek. Az első hét végére faluszerte elterjedt a hír a kutatásról és örömmel vettek részt benne a Nyugdíjaskör tagjai, de a táncpróbán, a presszó teraszán is zajlott a kitöltés.</w:t>
      </w:r>
    </w:p>
    <w:p w14:paraId="032B6288"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 xml:space="preserve">A következő, 3. számú ábra az 52 kitöltés említéseit szemlélteti: a nagyobb gyakorisággal szereplő kifejezések nagyobb mérettel szerepelnek. Az említések között természeti értékeket (Római fürdő, Gaja-patak, Prém malom), épületeket, nevezetes helyszíneket (Kultúrház, templom, focipálya, vízmérő) épp úgy találunk, mint szellemi, érzelmi kötődésre utaló kifejezéseket („házunk”, „otthon”, „barátnőmék háza”, „egykori vendégházam”). </w:t>
      </w:r>
    </w:p>
    <w:p w14:paraId="326FAC1C"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sz w:val="24"/>
          <w:szCs w:val="24"/>
          <w:lang w:eastAsia="hu-HU"/>
        </w:rPr>
        <w:t>A mentális térképezés eredményei alapján látható, hogy egyes értékelemek (szobrok, keresztek) kevéssé hangsúlyosan jelennek meg a helyiek „mentális térképén”, mint várnánk (</w:t>
      </w:r>
      <w:r w:rsidRPr="00FD4354">
        <w:rPr>
          <w:rFonts w:ascii="Times New Roman" w:eastAsia="Times New Roman" w:hAnsi="Times New Roman" w:cs="Times New Roman"/>
          <w:bCs/>
          <w:i/>
          <w:sz w:val="24"/>
          <w:szCs w:val="24"/>
          <w:lang w:eastAsia="hu-HU"/>
        </w:rPr>
        <w:t>3. sz. ábra</w:t>
      </w:r>
      <w:r w:rsidRPr="00FD4354">
        <w:rPr>
          <w:rFonts w:ascii="Times New Roman" w:eastAsia="Times New Roman" w:hAnsi="Times New Roman" w:cs="Times New Roman"/>
          <w:bCs/>
          <w:sz w:val="24"/>
          <w:szCs w:val="24"/>
          <w:lang w:eastAsia="hu-HU"/>
        </w:rPr>
        <w:t xml:space="preserve">). </w:t>
      </w:r>
    </w:p>
    <w:p w14:paraId="012A8A91" w14:textId="77777777" w:rsidR="00FD4354" w:rsidRPr="00FD4354" w:rsidRDefault="00FD4354" w:rsidP="00FD4354">
      <w:pPr>
        <w:shd w:val="clear" w:color="auto" w:fill="FFFFFF"/>
        <w:spacing w:after="120" w:line="240" w:lineRule="auto"/>
        <w:jc w:val="center"/>
        <w:rPr>
          <w:rFonts w:ascii="Times New Roman" w:eastAsia="Times New Roman" w:hAnsi="Times New Roman" w:cs="Times New Roman"/>
          <w:bCs/>
          <w:sz w:val="24"/>
          <w:szCs w:val="24"/>
          <w:lang w:eastAsia="hu-HU"/>
        </w:rPr>
      </w:pPr>
    </w:p>
    <w:p w14:paraId="58127F5E" w14:textId="77777777" w:rsidR="00FD4354" w:rsidRPr="00FD4354" w:rsidRDefault="00FD4354" w:rsidP="00FD4354">
      <w:pPr>
        <w:shd w:val="clear" w:color="auto" w:fill="FFFFFF"/>
        <w:spacing w:after="120" w:line="240" w:lineRule="auto"/>
        <w:contextualSpacing/>
        <w:jc w:val="center"/>
        <w:rPr>
          <w:rFonts w:ascii="Times New Roman" w:eastAsia="Times New Roman" w:hAnsi="Times New Roman" w:cs="Times New Roman"/>
          <w:b/>
          <w:bCs/>
          <w:iCs/>
          <w:sz w:val="24"/>
          <w:szCs w:val="24"/>
          <w:lang w:eastAsia="hu-HU"/>
        </w:rPr>
      </w:pPr>
      <w:r w:rsidRPr="00FD4354">
        <w:rPr>
          <w:rFonts w:ascii="Times New Roman" w:eastAsia="Times New Roman" w:hAnsi="Times New Roman" w:cs="Times New Roman"/>
          <w:noProof/>
          <w:sz w:val="24"/>
          <w:szCs w:val="24"/>
          <w:lang w:eastAsia="hu-HU"/>
        </w:rPr>
        <w:lastRenderedPageBreak/>
        <w:drawing>
          <wp:anchor distT="0" distB="0" distL="114300" distR="114300" simplePos="0" relativeHeight="251661312" behindDoc="0" locked="0" layoutInCell="1" allowOverlap="1" wp14:anchorId="264526F5" wp14:editId="45F44EBC">
            <wp:simplePos x="0" y="0"/>
            <wp:positionH relativeFrom="column">
              <wp:posOffset>764540</wp:posOffset>
            </wp:positionH>
            <wp:positionV relativeFrom="paragraph">
              <wp:posOffset>334645</wp:posOffset>
            </wp:positionV>
            <wp:extent cx="4232275" cy="3246967"/>
            <wp:effectExtent l="0" t="0" r="0" b="0"/>
            <wp:wrapTopAndBottom/>
            <wp:docPr id="6" name="Kép 6"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látható&#10;&#10;Automatikusan generált leírá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2249" b="11032"/>
                    <a:stretch/>
                  </pic:blipFill>
                  <pic:spPr bwMode="auto">
                    <a:xfrm>
                      <a:off x="0" y="0"/>
                      <a:ext cx="4232275" cy="32469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4354">
        <w:rPr>
          <w:rFonts w:ascii="Times New Roman" w:eastAsia="Times New Roman" w:hAnsi="Times New Roman" w:cs="Times New Roman"/>
          <w:sz w:val="24"/>
          <w:szCs w:val="24"/>
          <w:lang w:eastAsia="hu-HU"/>
        </w:rPr>
        <w:t>3. ábra: Az 52 fős bakonynánai mentális térképezés eredményeit szemléltető szófelhő</w:t>
      </w:r>
    </w:p>
    <w:p w14:paraId="58AD16CF" w14:textId="77777777" w:rsidR="00FD4354" w:rsidRPr="00FD4354" w:rsidRDefault="00FD4354" w:rsidP="00FD4354">
      <w:pPr>
        <w:shd w:val="clear" w:color="auto" w:fill="FFFFFF"/>
        <w:spacing w:after="120" w:line="240" w:lineRule="auto"/>
        <w:jc w:val="center"/>
        <w:rPr>
          <w:rFonts w:ascii="Times New Roman" w:eastAsia="Times New Roman" w:hAnsi="Times New Roman" w:cs="Times New Roman"/>
          <w:bCs/>
          <w:i/>
          <w:iCs/>
          <w:sz w:val="24"/>
          <w:szCs w:val="24"/>
          <w:lang w:eastAsia="hu-HU"/>
        </w:rPr>
      </w:pPr>
      <w:r w:rsidRPr="00FD4354">
        <w:rPr>
          <w:rFonts w:ascii="Times New Roman" w:eastAsia="Times New Roman" w:hAnsi="Times New Roman" w:cs="Times New Roman"/>
          <w:bCs/>
          <w:i/>
          <w:iCs/>
          <w:sz w:val="24"/>
          <w:szCs w:val="24"/>
          <w:lang w:eastAsia="hu-HU"/>
        </w:rPr>
        <w:t>Forrás: Bozsoki Fruzsina iASK  kutató jelentése (2022)</w:t>
      </w:r>
    </w:p>
    <w:p w14:paraId="0350EA74"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sz w:val="24"/>
          <w:szCs w:val="24"/>
          <w:lang w:eastAsia="hu-HU"/>
        </w:rPr>
      </w:pPr>
      <w:r w:rsidRPr="00FD4354">
        <w:rPr>
          <w:rFonts w:ascii="Times New Roman" w:eastAsia="Times New Roman" w:hAnsi="Times New Roman" w:cs="Times New Roman"/>
          <w:b/>
          <w:bCs/>
          <w:sz w:val="24"/>
          <w:szCs w:val="24"/>
          <w:lang w:eastAsia="hu-HU"/>
        </w:rPr>
        <w:t xml:space="preserve">6. Következtetések </w:t>
      </w:r>
    </w:p>
    <w:p w14:paraId="523F2328"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A Bakony Ékkövei projekt első szakaszában elvégzett kutató-fejlesztő munka többveretű. A közös alkotófolyamat megmutatkozik olyan „spin-off” eredményekben, mint az Életek és ételek sorozat, a közösen kidolgozott kiránduló-, turista-, tematikus utak, a rövid, közérthető angol nyelvű tartalmak kialakítása vagy a közös pályázat elkészítése a VEB2023 Pajta program keretében. Ugyanakkor vannak kevésbé megfogható eredmények is: ez a települések gondolkodásmódjára ható fejlesztési javaslatok, amelyeket megfontolnak, lehetőség szerint tovább visznek. </w:t>
      </w:r>
    </w:p>
    <w:p w14:paraId="5B348628"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Ezek közül kiemelendő a desztinációmenedzsment vagy a komplex helytermék-menedzsment kérdése. Az aktív időtöltés, a túrázás, a nordic walking, a kerékpározás, a téli sportok népszerűek belföldön, kiemelten a bakonyi térségben. A projektben vizsgált települések közül több az ismert OKT egy-egy állomása; s a Bakonynána-Jásd-Tés szakaszt többször a 10 legszebb útszakasz közé választották. Bakonynánán erős a fogadókészség a szállásadók részéről, hogy a látogatóik részére tanácsot adjanak a kevésbé ismert látnivalókról, élményekről. Jásd jelenlegi turisztikai kínálata (attrakciók és szolgáltatások) pedig a belföldi turisták, kirándulók számára vonzó, de szilárd gazdasági alapot nem nyújt a lakosságnak. </w:t>
      </w:r>
    </w:p>
    <w:p w14:paraId="090B8819"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Meglátásunk szerint ugyanakkor, ez a térség léptékváltást úgy tudna elérni, ha települési összefogásban jelennének meg a hazai turisztikai kínálati palettán. Az összefogás nem csak települési, hanem civil szervezeti és gazdasági társasági szinten is megvalósulhatna, így a különböző fejlesztések összehangoltan jelentkeznének, akár szinergikus hatásokat eredményezve. A főként belföldi látogatókra épülő, felelős turizmus fejlesztése érdekében elsősorban az aktív turizmus imázst, valamint a garantált programszervezést érdemes továbbfejleszteni, „láthatóvá tenni”. A turizmusfejlesztés hálózatos, a bakonyi tágabb térségre alapozó megközelítése lényeges szempont akár a 2023-as évben is. </w:t>
      </w:r>
    </w:p>
    <w:p w14:paraId="1A70D936"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i/>
          <w:sz w:val="24"/>
          <w:szCs w:val="24"/>
          <w:lang w:eastAsia="hu-HU"/>
        </w:rPr>
      </w:pPr>
    </w:p>
    <w:p w14:paraId="7649B3F2"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iCs/>
          <w:sz w:val="24"/>
          <w:szCs w:val="24"/>
          <w:lang w:eastAsia="hu-HU"/>
        </w:rPr>
      </w:pPr>
    </w:p>
    <w:p w14:paraId="04894820"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
          <w:bCs/>
          <w:sz w:val="24"/>
          <w:szCs w:val="24"/>
          <w:lang w:eastAsia="hu-HU"/>
        </w:rPr>
      </w:pPr>
      <w:r w:rsidRPr="00FD4354">
        <w:rPr>
          <w:rFonts w:ascii="Times New Roman" w:eastAsia="Times New Roman" w:hAnsi="Times New Roman" w:cs="Times New Roman"/>
          <w:b/>
          <w:bCs/>
          <w:sz w:val="24"/>
          <w:szCs w:val="24"/>
          <w:lang w:eastAsia="hu-HU"/>
        </w:rPr>
        <w:lastRenderedPageBreak/>
        <w:t>Irodalomjegyzék</w:t>
      </w:r>
    </w:p>
    <w:p w14:paraId="21A094D2"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Backhaus, J. – Genus A. – Lorek S. – Vadovics, E. – Wittmayer, J. M.</w:t>
      </w:r>
      <w:r w:rsidRPr="00FD4354">
        <w:rPr>
          <w:rFonts w:ascii="Times New Roman" w:eastAsia="Times New Roman" w:hAnsi="Times New Roman" w:cs="Times New Roman"/>
          <w:sz w:val="24"/>
          <w:szCs w:val="24"/>
          <w:lang w:eastAsia="hu-HU"/>
        </w:rPr>
        <w:t xml:space="preserve"> szerk. (2017): </w:t>
      </w:r>
      <w:r w:rsidRPr="00FD4354">
        <w:rPr>
          <w:rFonts w:ascii="Times New Roman" w:eastAsia="Times New Roman" w:hAnsi="Times New Roman" w:cs="Times New Roman"/>
          <w:i/>
          <w:iCs/>
          <w:sz w:val="24"/>
          <w:szCs w:val="24"/>
          <w:lang w:eastAsia="hu-HU"/>
        </w:rPr>
        <w:t xml:space="preserve">Social Innovation and Sustainable Consumption: Research and Action for Societal Transformation, </w:t>
      </w:r>
      <w:r w:rsidRPr="00FD4354">
        <w:rPr>
          <w:rFonts w:ascii="Times New Roman" w:eastAsia="Times New Roman" w:hAnsi="Times New Roman" w:cs="Times New Roman"/>
          <w:sz w:val="24"/>
          <w:szCs w:val="24"/>
          <w:lang w:eastAsia="hu-HU"/>
        </w:rPr>
        <w:t>Routledge-SCORAI Studies in Sustainable Consumption, p. 189</w:t>
      </w:r>
    </w:p>
    <w:p w14:paraId="287A01AD"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Barca, F., McCann, P. – Rodríguez-Pose, A.</w:t>
      </w:r>
      <w:r w:rsidRPr="00FD4354">
        <w:rPr>
          <w:rFonts w:ascii="Times New Roman" w:eastAsia="Times New Roman" w:hAnsi="Times New Roman" w:cs="Times New Roman"/>
          <w:sz w:val="24"/>
          <w:szCs w:val="24"/>
          <w:lang w:eastAsia="hu-HU"/>
        </w:rPr>
        <w:t xml:space="preserve"> (2012): The Case For Regional Development Intervention: Place‐Based Versus Place‐Neutral Approaches. </w:t>
      </w:r>
      <w:r w:rsidRPr="00FD4354">
        <w:rPr>
          <w:rFonts w:ascii="Times New Roman" w:eastAsia="Times New Roman" w:hAnsi="Times New Roman" w:cs="Times New Roman"/>
          <w:i/>
          <w:sz w:val="24"/>
          <w:szCs w:val="24"/>
          <w:lang w:eastAsia="hu-HU"/>
        </w:rPr>
        <w:t>Journal of Regional Science</w:t>
      </w:r>
      <w:r w:rsidRPr="00FD4354">
        <w:rPr>
          <w:rFonts w:ascii="Times New Roman" w:eastAsia="Times New Roman" w:hAnsi="Times New Roman" w:cs="Times New Roman"/>
          <w:sz w:val="24"/>
          <w:szCs w:val="24"/>
          <w:lang w:eastAsia="hu-HU"/>
        </w:rPr>
        <w:t xml:space="preserve"> 52: 134-152. (</w:t>
      </w:r>
      <w:r w:rsidRPr="00FD4354">
        <w:rPr>
          <w:rFonts w:ascii="Times New Roman" w:eastAsia="Calibri" w:hAnsi="Times New Roman" w:cs="Times New Roman"/>
          <w:sz w:val="24"/>
        </w:rPr>
        <w:fldChar w:fldCharType="begin"/>
      </w:r>
      <w:r w:rsidRPr="00FD4354">
        <w:rPr>
          <w:rFonts w:ascii="Times New Roman" w:eastAsia="Calibri" w:hAnsi="Times New Roman" w:cs="Times New Roman"/>
          <w:sz w:val="24"/>
        </w:rPr>
        <w:instrText>HYPERLINK "https://doi.org/10.1111/j.1467-9787.2011.00756.x"</w:instrText>
      </w:r>
      <w:r w:rsidRPr="00FD4354">
        <w:rPr>
          <w:rFonts w:ascii="Times New Roman" w:eastAsia="Calibri" w:hAnsi="Times New Roman" w:cs="Times New Roman"/>
          <w:sz w:val="24"/>
        </w:rPr>
      </w:r>
      <w:r w:rsidRPr="00FD4354">
        <w:rPr>
          <w:rFonts w:ascii="Times New Roman" w:eastAsia="Calibri" w:hAnsi="Times New Roman" w:cs="Times New Roman"/>
          <w:sz w:val="24"/>
        </w:rPr>
        <w:fldChar w:fldCharType="separate"/>
      </w:r>
      <w:r w:rsidRPr="00FD4354">
        <w:rPr>
          <w:rFonts w:ascii="Times New Roman" w:eastAsia="Times New Roman" w:hAnsi="Times New Roman" w:cs="Times New Roman"/>
          <w:sz w:val="24"/>
          <w:szCs w:val="24"/>
          <w:lang w:eastAsia="hu-HU"/>
        </w:rPr>
        <w:t>https://doi.org/10.1111/j.1467-9787.2011.00756.x</w:t>
      </w:r>
      <w:r w:rsidRPr="00FD4354">
        <w:rPr>
          <w:rFonts w:ascii="Times New Roman" w:eastAsia="Times New Roman" w:hAnsi="Times New Roman" w:cs="Times New Roman"/>
          <w:sz w:val="24"/>
          <w:szCs w:val="24"/>
          <w:lang w:eastAsia="hu-HU"/>
        </w:rPr>
        <w:fldChar w:fldCharType="end"/>
      </w:r>
      <w:r w:rsidRPr="00FD4354">
        <w:rPr>
          <w:rFonts w:ascii="Times New Roman" w:eastAsia="Times New Roman" w:hAnsi="Times New Roman" w:cs="Times New Roman"/>
          <w:sz w:val="24"/>
          <w:szCs w:val="24"/>
          <w:lang w:eastAsia="hu-HU"/>
        </w:rPr>
        <w:t>)</w:t>
      </w:r>
    </w:p>
    <w:p w14:paraId="6B9F04F7"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Bentley, G. – Pugalis, L.</w:t>
      </w:r>
      <w:r w:rsidRPr="00FD4354">
        <w:rPr>
          <w:rFonts w:ascii="Times New Roman" w:eastAsia="Times New Roman" w:hAnsi="Times New Roman" w:cs="Times New Roman"/>
          <w:sz w:val="24"/>
          <w:szCs w:val="24"/>
          <w:lang w:eastAsia="hu-HU"/>
        </w:rPr>
        <w:t xml:space="preserve"> (2014): Shifting paradigms: People-centred models, active regional development, space-blind policies and place-based approaches.</w:t>
      </w:r>
      <w:r w:rsidRPr="00FD4354">
        <w:rPr>
          <w:rFonts w:ascii="Times New Roman" w:eastAsia="Times New Roman" w:hAnsi="Times New Roman" w:cs="Times New Roman"/>
          <w:i/>
          <w:iCs/>
          <w:sz w:val="24"/>
          <w:szCs w:val="24"/>
          <w:shd w:val="clear" w:color="auto" w:fill="FFFFFF"/>
          <w:lang w:eastAsia="hu-HU"/>
        </w:rPr>
        <w:t xml:space="preserve"> Local Economy</w:t>
      </w:r>
      <w:r w:rsidRPr="00FD4354">
        <w:rPr>
          <w:rFonts w:ascii="Times New Roman" w:eastAsia="Times New Roman" w:hAnsi="Times New Roman" w:cs="Times New Roman"/>
          <w:sz w:val="24"/>
          <w:szCs w:val="24"/>
          <w:shd w:val="clear" w:color="auto" w:fill="FFFFFF"/>
          <w:lang w:eastAsia="hu-HU"/>
        </w:rPr>
        <w:t> </w:t>
      </w:r>
      <w:r w:rsidRPr="00FD4354">
        <w:rPr>
          <w:rFonts w:ascii="Times New Roman" w:eastAsia="Times New Roman" w:hAnsi="Times New Roman" w:cs="Times New Roman"/>
          <w:i/>
          <w:iCs/>
          <w:sz w:val="24"/>
          <w:szCs w:val="24"/>
          <w:shd w:val="clear" w:color="auto" w:fill="FFFFFF"/>
          <w:lang w:eastAsia="hu-HU"/>
        </w:rPr>
        <w:t>29</w:t>
      </w:r>
      <w:r w:rsidRPr="00FD4354">
        <w:rPr>
          <w:rFonts w:ascii="Times New Roman" w:eastAsia="Times New Roman" w:hAnsi="Times New Roman" w:cs="Times New Roman"/>
          <w:sz w:val="24"/>
          <w:szCs w:val="24"/>
          <w:shd w:val="clear" w:color="auto" w:fill="FFFFFF"/>
          <w:lang w:eastAsia="hu-HU"/>
        </w:rPr>
        <w:t>(4–5): 283–294. (</w:t>
      </w:r>
      <w:r w:rsidRPr="00FD4354">
        <w:rPr>
          <w:rFonts w:ascii="Times New Roman" w:eastAsia="Calibri" w:hAnsi="Times New Roman" w:cs="Times New Roman"/>
          <w:sz w:val="24"/>
        </w:rPr>
        <w:fldChar w:fldCharType="begin"/>
      </w:r>
      <w:r w:rsidRPr="00FD4354">
        <w:rPr>
          <w:rFonts w:ascii="Times New Roman" w:eastAsia="Calibri" w:hAnsi="Times New Roman" w:cs="Times New Roman"/>
          <w:sz w:val="24"/>
        </w:rPr>
        <w:instrText>HYPERLINK "https://doi.org/10.1177/0269094214541355"</w:instrText>
      </w:r>
      <w:r w:rsidRPr="00FD4354">
        <w:rPr>
          <w:rFonts w:ascii="Times New Roman" w:eastAsia="Calibri" w:hAnsi="Times New Roman" w:cs="Times New Roman"/>
          <w:sz w:val="24"/>
        </w:rPr>
      </w:r>
      <w:r w:rsidRPr="00FD4354">
        <w:rPr>
          <w:rFonts w:ascii="Times New Roman" w:eastAsia="Calibri" w:hAnsi="Times New Roman" w:cs="Times New Roman"/>
          <w:sz w:val="24"/>
        </w:rPr>
        <w:fldChar w:fldCharType="separate"/>
      </w:r>
      <w:r w:rsidRPr="00FD4354">
        <w:rPr>
          <w:rFonts w:ascii="Times New Roman" w:eastAsia="Times New Roman" w:hAnsi="Times New Roman" w:cs="Times New Roman"/>
          <w:sz w:val="24"/>
          <w:szCs w:val="24"/>
          <w:shd w:val="clear" w:color="auto" w:fill="FFFFFF"/>
          <w:lang w:eastAsia="hu-HU"/>
        </w:rPr>
        <w:t>https://doi.org/10.1177/0269094214541355</w:t>
      </w:r>
      <w:r w:rsidRPr="00FD4354">
        <w:rPr>
          <w:rFonts w:ascii="Times New Roman" w:eastAsia="Times New Roman" w:hAnsi="Times New Roman" w:cs="Times New Roman"/>
          <w:sz w:val="24"/>
          <w:szCs w:val="24"/>
          <w:shd w:val="clear" w:color="auto" w:fill="FFFFFF"/>
          <w:lang w:eastAsia="hu-HU"/>
        </w:rPr>
        <w:fldChar w:fldCharType="end"/>
      </w:r>
      <w:r w:rsidRPr="00FD4354">
        <w:rPr>
          <w:rFonts w:ascii="Times New Roman" w:eastAsia="Times New Roman" w:hAnsi="Times New Roman" w:cs="Times New Roman"/>
          <w:sz w:val="24"/>
          <w:szCs w:val="24"/>
          <w:lang w:eastAsia="hu-HU"/>
        </w:rPr>
        <w:t>)</w:t>
      </w:r>
    </w:p>
    <w:p w14:paraId="4E8E5DA2"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caps/>
          <w:sz w:val="24"/>
          <w:szCs w:val="24"/>
          <w:lang w:eastAsia="hu-HU"/>
        </w:rPr>
      </w:pPr>
      <w:r w:rsidRPr="00FD4354">
        <w:rPr>
          <w:rFonts w:ascii="Times New Roman" w:eastAsia="Times New Roman" w:hAnsi="Times New Roman" w:cs="Times New Roman"/>
          <w:caps/>
          <w:sz w:val="24"/>
          <w:szCs w:val="24"/>
          <w:lang w:eastAsia="hu-HU"/>
        </w:rPr>
        <w:t xml:space="preserve">Berkesné Rodek N. – Birkner Z. – Ernszt I. (2018): </w:t>
      </w:r>
      <w:r w:rsidRPr="00FD4354">
        <w:rPr>
          <w:rFonts w:ascii="Times New Roman" w:eastAsia="Times New Roman" w:hAnsi="Times New Roman" w:cs="Times New Roman"/>
          <w:i/>
          <w:iCs/>
          <w:sz w:val="24"/>
          <w:szCs w:val="24"/>
          <w:lang w:eastAsia="hu-HU"/>
        </w:rPr>
        <w:t xml:space="preserve">Köldökzsinór - A Pannon Városok Szövetségéhez tartozó városok sikerének és megtartó erejének kulcstényezői. </w:t>
      </w:r>
      <w:r w:rsidRPr="00FD4354">
        <w:rPr>
          <w:rFonts w:ascii="Times New Roman" w:eastAsia="Times New Roman" w:hAnsi="Times New Roman" w:cs="Times New Roman"/>
          <w:sz w:val="24"/>
          <w:szCs w:val="24"/>
          <w:lang w:eastAsia="hu-HU"/>
        </w:rPr>
        <w:t xml:space="preserve">Felsőbbfokú Tanulmányok Intézete (2018), Kőszeg, Magyarország. </w:t>
      </w:r>
      <w:r w:rsidRPr="00FD4354">
        <w:rPr>
          <w:rFonts w:ascii="Times New Roman" w:eastAsia="Times New Roman" w:hAnsi="Times New Roman" w:cs="Times New Roman"/>
          <w:bCs/>
          <w:sz w:val="24"/>
          <w:szCs w:val="24"/>
          <w:lang w:eastAsia="hu-HU"/>
        </w:rPr>
        <w:t>198 p., pp. 241-249. pp.10-49</w:t>
      </w:r>
    </w:p>
    <w:p w14:paraId="46AAEAE4"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BOZSOKI F. (2022): A környezettel harmonizáló, élhető település, összetartó társadalom. Egyéni kutatási beszámoló a Bakony Ékkövei projektben</w:t>
      </w:r>
    </w:p>
    <w:p w14:paraId="2601FAE8" w14:textId="77777777" w:rsidR="00FD4354" w:rsidRPr="00FD4354" w:rsidRDefault="00FD4354" w:rsidP="00FD4354">
      <w:pPr>
        <w:spacing w:after="120" w:line="240" w:lineRule="auto"/>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Cajaiba-Santana</w:t>
      </w:r>
      <w:r w:rsidRPr="00FD4354">
        <w:rPr>
          <w:rFonts w:ascii="Times New Roman" w:eastAsia="Times New Roman" w:hAnsi="Times New Roman" w:cs="Times New Roman"/>
          <w:sz w:val="24"/>
          <w:szCs w:val="24"/>
          <w:lang w:eastAsia="hu-HU"/>
        </w:rPr>
        <w:t xml:space="preserve">, G. (2014): Social innovation: moving the field forward. A conceptual framework. </w:t>
      </w:r>
      <w:r w:rsidRPr="00FD4354">
        <w:rPr>
          <w:rFonts w:ascii="Times New Roman" w:eastAsia="Times New Roman" w:hAnsi="Times New Roman" w:cs="Times New Roman"/>
          <w:i/>
          <w:iCs/>
          <w:sz w:val="24"/>
          <w:szCs w:val="24"/>
          <w:lang w:eastAsia="hu-HU"/>
        </w:rPr>
        <w:t xml:space="preserve">Technological Forecasting and Social Change (82): </w:t>
      </w:r>
      <w:r w:rsidRPr="00FD4354">
        <w:rPr>
          <w:rFonts w:ascii="Times New Roman" w:eastAsia="Times New Roman" w:hAnsi="Times New Roman" w:cs="Times New Roman"/>
          <w:sz w:val="24"/>
          <w:szCs w:val="24"/>
          <w:lang w:eastAsia="hu-HU"/>
        </w:rPr>
        <w:t>42-51. (</w:t>
      </w:r>
      <w:r w:rsidRPr="00FD4354">
        <w:rPr>
          <w:rFonts w:ascii="Times New Roman" w:eastAsia="Calibri" w:hAnsi="Times New Roman" w:cs="Times New Roman"/>
          <w:sz w:val="24"/>
        </w:rPr>
        <w:fldChar w:fldCharType="begin"/>
      </w:r>
      <w:r w:rsidRPr="00FD4354">
        <w:rPr>
          <w:rFonts w:ascii="Times New Roman" w:eastAsia="Calibri" w:hAnsi="Times New Roman" w:cs="Times New Roman"/>
          <w:sz w:val="24"/>
        </w:rPr>
        <w:instrText>HYPERLINK "https://doi.org/10.1016/j.techfore.2013.05.008"</w:instrText>
      </w:r>
      <w:r w:rsidRPr="00FD4354">
        <w:rPr>
          <w:rFonts w:ascii="Times New Roman" w:eastAsia="Calibri" w:hAnsi="Times New Roman" w:cs="Times New Roman"/>
          <w:sz w:val="24"/>
        </w:rPr>
      </w:r>
      <w:r w:rsidRPr="00FD4354">
        <w:rPr>
          <w:rFonts w:ascii="Times New Roman" w:eastAsia="Calibri" w:hAnsi="Times New Roman" w:cs="Times New Roman"/>
          <w:sz w:val="24"/>
        </w:rPr>
        <w:fldChar w:fldCharType="separate"/>
      </w:r>
      <w:r w:rsidRPr="00FD4354">
        <w:rPr>
          <w:rFonts w:ascii="Times New Roman" w:eastAsia="Times New Roman" w:hAnsi="Times New Roman" w:cs="Times New Roman"/>
          <w:sz w:val="24"/>
          <w:szCs w:val="24"/>
          <w:lang w:eastAsia="hu-HU"/>
        </w:rPr>
        <w:t>https://doi.org/10.1016/j.techfore.2013.05.008</w:t>
      </w:r>
      <w:r w:rsidRPr="00FD4354">
        <w:rPr>
          <w:rFonts w:ascii="Times New Roman" w:eastAsia="Times New Roman" w:hAnsi="Times New Roman" w:cs="Times New Roman"/>
          <w:sz w:val="24"/>
          <w:szCs w:val="24"/>
          <w:lang w:eastAsia="hu-HU"/>
        </w:rPr>
        <w:fldChar w:fldCharType="end"/>
      </w:r>
      <w:r w:rsidRPr="00FD4354">
        <w:rPr>
          <w:rFonts w:ascii="Times New Roman" w:eastAsia="Times New Roman" w:hAnsi="Times New Roman" w:cs="Times New Roman"/>
          <w:sz w:val="24"/>
          <w:szCs w:val="24"/>
          <w:lang w:eastAsia="hu-HU"/>
        </w:rPr>
        <w:t>)</w:t>
      </w:r>
    </w:p>
    <w:p w14:paraId="35035419" w14:textId="77777777" w:rsidR="00FD4354" w:rsidRPr="00FD4354" w:rsidRDefault="00FD4354" w:rsidP="00FD4354">
      <w:pPr>
        <w:spacing w:after="120" w:line="240" w:lineRule="auto"/>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Camagni, R. – Capello, R.</w:t>
      </w:r>
      <w:r w:rsidRPr="00FD4354">
        <w:rPr>
          <w:rFonts w:ascii="Times New Roman" w:eastAsia="Times New Roman" w:hAnsi="Times New Roman" w:cs="Times New Roman"/>
          <w:sz w:val="24"/>
          <w:szCs w:val="24"/>
          <w:lang w:eastAsia="hu-HU"/>
        </w:rPr>
        <w:t xml:space="preserve"> (2012): Regional Competitiveness and Territorial Capital: A Conceptual Approach and Empirical Evidence from the European Union. </w:t>
      </w:r>
      <w:r w:rsidRPr="00FD4354">
        <w:rPr>
          <w:rFonts w:ascii="Times New Roman" w:eastAsia="Times New Roman" w:hAnsi="Times New Roman" w:cs="Times New Roman"/>
          <w:i/>
          <w:sz w:val="24"/>
          <w:szCs w:val="24"/>
          <w:lang w:eastAsia="hu-HU"/>
        </w:rPr>
        <w:t>Regional Studies 47</w:t>
      </w:r>
      <w:r w:rsidRPr="00FD4354">
        <w:rPr>
          <w:rFonts w:ascii="Times New Roman" w:eastAsia="Times New Roman" w:hAnsi="Times New Roman" w:cs="Times New Roman"/>
          <w:sz w:val="24"/>
          <w:szCs w:val="24"/>
          <w:lang w:eastAsia="hu-HU"/>
        </w:rPr>
        <w:t>(9): 1383-1402 (</w:t>
      </w:r>
      <w:r w:rsidRPr="00FD4354">
        <w:rPr>
          <w:rFonts w:ascii="Times New Roman" w:eastAsia="Calibri" w:hAnsi="Times New Roman" w:cs="Times New Roman"/>
          <w:sz w:val="24"/>
        </w:rPr>
        <w:fldChar w:fldCharType="begin"/>
      </w:r>
      <w:r w:rsidRPr="00FD4354">
        <w:rPr>
          <w:rFonts w:ascii="Times New Roman" w:eastAsia="Calibri" w:hAnsi="Times New Roman" w:cs="Times New Roman"/>
          <w:sz w:val="24"/>
        </w:rPr>
        <w:instrText>HYPERLINK "https://doi.org/10.1080/00343404.2012.681640"</w:instrText>
      </w:r>
      <w:r w:rsidRPr="00FD4354">
        <w:rPr>
          <w:rFonts w:ascii="Times New Roman" w:eastAsia="Calibri" w:hAnsi="Times New Roman" w:cs="Times New Roman"/>
          <w:sz w:val="24"/>
        </w:rPr>
      </w:r>
      <w:r w:rsidRPr="00FD4354">
        <w:rPr>
          <w:rFonts w:ascii="Times New Roman" w:eastAsia="Calibri" w:hAnsi="Times New Roman" w:cs="Times New Roman"/>
          <w:sz w:val="24"/>
        </w:rPr>
        <w:fldChar w:fldCharType="separate"/>
      </w:r>
      <w:r w:rsidRPr="00FD4354">
        <w:rPr>
          <w:rFonts w:ascii="Times New Roman" w:eastAsia="Times New Roman" w:hAnsi="Times New Roman" w:cs="Times New Roman"/>
          <w:sz w:val="24"/>
          <w:szCs w:val="24"/>
          <w:lang w:eastAsia="hu-HU"/>
        </w:rPr>
        <w:t>https://doi.org/10.1080/00343404.2012.681640</w:t>
      </w:r>
      <w:r w:rsidRPr="00FD4354">
        <w:rPr>
          <w:rFonts w:ascii="Times New Roman" w:eastAsia="Times New Roman" w:hAnsi="Times New Roman" w:cs="Times New Roman"/>
          <w:sz w:val="24"/>
          <w:szCs w:val="24"/>
          <w:lang w:eastAsia="hu-HU"/>
        </w:rPr>
        <w:fldChar w:fldCharType="end"/>
      </w:r>
      <w:r w:rsidRPr="00FD4354">
        <w:rPr>
          <w:rFonts w:ascii="Times New Roman" w:eastAsia="Times New Roman" w:hAnsi="Times New Roman" w:cs="Times New Roman"/>
          <w:sz w:val="24"/>
          <w:szCs w:val="24"/>
          <w:lang w:eastAsia="hu-HU"/>
        </w:rPr>
        <w:t>)</w:t>
      </w:r>
    </w:p>
    <w:p w14:paraId="5BBE174D" w14:textId="77777777" w:rsidR="00FD4354" w:rsidRPr="00FD4354" w:rsidRDefault="00FD4354" w:rsidP="00FD4354">
      <w:pPr>
        <w:spacing w:after="120" w:line="240" w:lineRule="auto"/>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CSATÁRI B. (2000): A magyarországi kistérségek vidékiség-kritériumai. In: Horváth Gy. – Rechnitzer J. szerk. (2000): </w:t>
      </w:r>
      <w:r w:rsidRPr="00FD4354">
        <w:rPr>
          <w:rFonts w:ascii="Times New Roman" w:eastAsia="Times New Roman" w:hAnsi="Times New Roman" w:cs="Times New Roman"/>
          <w:i/>
          <w:iCs/>
          <w:sz w:val="24"/>
          <w:szCs w:val="24"/>
          <w:lang w:eastAsia="hu-HU"/>
        </w:rPr>
        <w:t>Magyarország területi szerkezete és folyamatai az ezredfordulón.</w:t>
      </w:r>
      <w:r w:rsidRPr="00FD4354">
        <w:rPr>
          <w:rFonts w:ascii="Times New Roman" w:eastAsia="Times New Roman" w:hAnsi="Times New Roman" w:cs="Times New Roman"/>
          <w:sz w:val="24"/>
          <w:szCs w:val="24"/>
          <w:lang w:eastAsia="hu-HU"/>
        </w:rPr>
        <w:t xml:space="preserve"> Pécs, MTA Regionális Kutatások Központja. pp. 193-217.</w:t>
      </w:r>
    </w:p>
    <w:p w14:paraId="2690C51C" w14:textId="77777777" w:rsidR="00FD4354" w:rsidRPr="00FD4354" w:rsidRDefault="00FD4354" w:rsidP="00FD4354">
      <w:pPr>
        <w:spacing w:after="120" w:line="240" w:lineRule="auto"/>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Dijkstra, L. – Poelman, H. – Rodríguez-Pose, A.</w:t>
      </w:r>
      <w:r w:rsidRPr="00FD4354">
        <w:rPr>
          <w:rFonts w:ascii="Times New Roman" w:eastAsia="Times New Roman" w:hAnsi="Times New Roman" w:cs="Times New Roman"/>
          <w:sz w:val="24"/>
          <w:szCs w:val="24"/>
          <w:lang w:eastAsia="hu-HU"/>
        </w:rPr>
        <w:t xml:space="preserve"> (2020): The geography of EU discontent. </w:t>
      </w:r>
      <w:r w:rsidRPr="00FD4354">
        <w:rPr>
          <w:rFonts w:ascii="Times New Roman" w:eastAsia="Times New Roman" w:hAnsi="Times New Roman" w:cs="Times New Roman"/>
          <w:i/>
          <w:iCs/>
          <w:sz w:val="24"/>
          <w:szCs w:val="24"/>
          <w:lang w:eastAsia="hu-HU"/>
        </w:rPr>
        <w:t>Regional Studies, 54</w:t>
      </w:r>
      <w:r w:rsidRPr="00FD4354">
        <w:rPr>
          <w:rFonts w:ascii="Times New Roman" w:eastAsia="Times New Roman" w:hAnsi="Times New Roman" w:cs="Times New Roman"/>
          <w:sz w:val="24"/>
          <w:szCs w:val="24"/>
          <w:lang w:eastAsia="hu-HU"/>
        </w:rPr>
        <w:t>(6): 737-753  (</w:t>
      </w:r>
      <w:hyperlink r:id="rId20" w:history="1">
        <w:r w:rsidRPr="00FD4354">
          <w:rPr>
            <w:rFonts w:ascii="Times New Roman" w:eastAsia="Times New Roman" w:hAnsi="Times New Roman" w:cs="Times New Roman"/>
            <w:sz w:val="24"/>
            <w:szCs w:val="24"/>
            <w:lang w:eastAsia="hu-HU"/>
          </w:rPr>
          <w:t>https://doi.org/10.1080/00343404.2019.1654603</w:t>
        </w:r>
      </w:hyperlink>
      <w:r w:rsidRPr="00FD4354">
        <w:rPr>
          <w:rFonts w:ascii="Times New Roman" w:eastAsia="Times New Roman" w:hAnsi="Times New Roman" w:cs="Times New Roman"/>
          <w:sz w:val="24"/>
          <w:szCs w:val="24"/>
          <w:lang w:eastAsia="hu-HU"/>
        </w:rPr>
        <w:t xml:space="preserve">) </w:t>
      </w:r>
    </w:p>
    <w:p w14:paraId="1AE67860"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sz w:val="24"/>
          <w:szCs w:val="24"/>
          <w:lang w:eastAsia="hu-HU"/>
        </w:rPr>
      </w:pPr>
      <w:r w:rsidRPr="00FD4354">
        <w:rPr>
          <w:rFonts w:ascii="Times New Roman" w:eastAsia="Times New Roman" w:hAnsi="Times New Roman" w:cs="Times New Roman"/>
          <w:bCs/>
          <w:caps/>
          <w:sz w:val="24"/>
          <w:szCs w:val="24"/>
          <w:lang w:eastAsia="hu-HU"/>
        </w:rPr>
        <w:t xml:space="preserve">Duxbury, N.  </w:t>
      </w:r>
      <w:r w:rsidRPr="00FD4354">
        <w:rPr>
          <w:rFonts w:ascii="Times New Roman" w:eastAsia="Times New Roman" w:hAnsi="Times New Roman" w:cs="Times New Roman"/>
          <w:caps/>
          <w:sz w:val="24"/>
          <w:szCs w:val="24"/>
          <w:lang w:eastAsia="hu-HU"/>
        </w:rPr>
        <w:t>–</w:t>
      </w:r>
      <w:r w:rsidRPr="00FD4354">
        <w:rPr>
          <w:rFonts w:ascii="Times New Roman" w:eastAsia="Times New Roman" w:hAnsi="Times New Roman" w:cs="Times New Roman"/>
          <w:bCs/>
          <w:caps/>
          <w:sz w:val="24"/>
          <w:szCs w:val="24"/>
          <w:lang w:eastAsia="hu-HU"/>
        </w:rPr>
        <w:t xml:space="preserve"> Richards, G. (2019): </w:t>
      </w:r>
      <w:r w:rsidRPr="00FD4354">
        <w:rPr>
          <w:rFonts w:ascii="Times New Roman" w:eastAsia="Times New Roman" w:hAnsi="Times New Roman" w:cs="Times New Roman"/>
          <w:bCs/>
          <w:sz w:val="24"/>
          <w:szCs w:val="24"/>
          <w:lang w:eastAsia="hu-HU"/>
        </w:rPr>
        <w:t>Towards a research agenda for creative tourism: developments, diversity, and dynamics</w:t>
      </w:r>
      <w:r w:rsidRPr="00FD4354">
        <w:rPr>
          <w:rFonts w:ascii="Times New Roman" w:eastAsia="Times New Roman" w:hAnsi="Times New Roman" w:cs="Times New Roman"/>
          <w:bCs/>
          <w:caps/>
          <w:sz w:val="24"/>
          <w:szCs w:val="24"/>
          <w:lang w:eastAsia="hu-HU"/>
        </w:rPr>
        <w:t xml:space="preserve">. </w:t>
      </w:r>
      <w:r w:rsidRPr="00FD4354">
        <w:rPr>
          <w:rFonts w:ascii="Times New Roman" w:eastAsia="Times New Roman" w:hAnsi="Times New Roman" w:cs="Times New Roman"/>
          <w:bCs/>
          <w:sz w:val="24"/>
          <w:szCs w:val="24"/>
          <w:lang w:eastAsia="hu-HU"/>
        </w:rPr>
        <w:t>In</w:t>
      </w:r>
      <w:r w:rsidRPr="00FD4354">
        <w:rPr>
          <w:rFonts w:ascii="Times New Roman" w:eastAsia="Times New Roman" w:hAnsi="Times New Roman" w:cs="Times New Roman"/>
          <w:bCs/>
          <w:caps/>
          <w:sz w:val="24"/>
          <w:szCs w:val="24"/>
          <w:lang w:eastAsia="hu-HU"/>
        </w:rPr>
        <w:t xml:space="preserve">: Duxbury, N. </w:t>
      </w:r>
      <w:r w:rsidRPr="00FD4354">
        <w:rPr>
          <w:rFonts w:ascii="Times New Roman" w:eastAsia="Times New Roman" w:hAnsi="Times New Roman" w:cs="Times New Roman"/>
          <w:caps/>
          <w:sz w:val="24"/>
          <w:szCs w:val="24"/>
          <w:lang w:eastAsia="hu-HU"/>
        </w:rPr>
        <w:t>–</w:t>
      </w:r>
      <w:r w:rsidRPr="00FD4354">
        <w:rPr>
          <w:rFonts w:ascii="Times New Roman" w:eastAsia="Times New Roman" w:hAnsi="Times New Roman" w:cs="Times New Roman"/>
          <w:bCs/>
          <w:caps/>
          <w:sz w:val="24"/>
          <w:szCs w:val="24"/>
          <w:lang w:eastAsia="hu-HU"/>
        </w:rPr>
        <w:t xml:space="preserve"> Richards, G. </w:t>
      </w:r>
      <w:r w:rsidRPr="00FD4354">
        <w:rPr>
          <w:rFonts w:ascii="Times New Roman" w:eastAsia="Times New Roman" w:hAnsi="Times New Roman" w:cs="Times New Roman"/>
          <w:bCs/>
          <w:sz w:val="24"/>
          <w:szCs w:val="24"/>
          <w:lang w:eastAsia="hu-HU"/>
        </w:rPr>
        <w:t xml:space="preserve">szerk. </w:t>
      </w:r>
      <w:r w:rsidRPr="00FD4354">
        <w:rPr>
          <w:rFonts w:ascii="Times New Roman" w:eastAsia="Times New Roman" w:hAnsi="Times New Roman" w:cs="Times New Roman"/>
          <w:bCs/>
          <w:caps/>
          <w:sz w:val="24"/>
          <w:szCs w:val="24"/>
          <w:lang w:eastAsia="hu-HU"/>
        </w:rPr>
        <w:t xml:space="preserve">(2019): </w:t>
      </w:r>
      <w:r w:rsidRPr="00FD4354">
        <w:rPr>
          <w:rFonts w:ascii="Times New Roman" w:eastAsia="Times New Roman" w:hAnsi="Times New Roman" w:cs="Times New Roman"/>
          <w:bCs/>
          <w:i/>
          <w:sz w:val="24"/>
          <w:szCs w:val="24"/>
          <w:lang w:eastAsia="hu-HU"/>
        </w:rPr>
        <w:t>A Research Agenda for Creative Tourism</w:t>
      </w:r>
      <w:r w:rsidRPr="00FD4354">
        <w:rPr>
          <w:rFonts w:ascii="Times New Roman" w:eastAsia="Times New Roman" w:hAnsi="Times New Roman" w:cs="Times New Roman"/>
          <w:bCs/>
          <w:sz w:val="24"/>
          <w:szCs w:val="24"/>
          <w:lang w:eastAsia="hu-HU"/>
        </w:rPr>
        <w:t>. Edward Elgar Publishing, 2019, pp. 1-14.</w:t>
      </w:r>
    </w:p>
    <w:p w14:paraId="16A4AD01"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caps/>
          <w:sz w:val="24"/>
          <w:szCs w:val="24"/>
          <w:lang w:eastAsia="hu-HU"/>
        </w:rPr>
      </w:pPr>
      <w:r w:rsidRPr="00FD4354">
        <w:rPr>
          <w:rFonts w:ascii="Times New Roman" w:eastAsia="Times New Roman" w:hAnsi="Times New Roman" w:cs="Times New Roman"/>
          <w:caps/>
          <w:sz w:val="24"/>
          <w:szCs w:val="24"/>
          <w:lang w:val="en-US" w:eastAsia="hu-HU"/>
        </w:rPr>
        <w:t>Enyedi Gy.</w:t>
      </w:r>
      <w:r w:rsidRPr="00FD4354">
        <w:rPr>
          <w:rFonts w:ascii="Times New Roman" w:eastAsia="Times New Roman" w:hAnsi="Times New Roman" w:cs="Times New Roman"/>
          <w:sz w:val="24"/>
          <w:szCs w:val="24"/>
          <w:lang w:val="en-US" w:eastAsia="hu-HU"/>
        </w:rPr>
        <w:t xml:space="preserve"> (1996): </w:t>
      </w:r>
      <w:proofErr w:type="spellStart"/>
      <w:r w:rsidRPr="00FD4354">
        <w:rPr>
          <w:rFonts w:ascii="Times New Roman" w:eastAsia="Times New Roman" w:hAnsi="Times New Roman" w:cs="Times New Roman"/>
          <w:i/>
          <w:sz w:val="24"/>
          <w:szCs w:val="24"/>
          <w:lang w:val="en-US" w:eastAsia="hu-HU"/>
        </w:rPr>
        <w:t>Regionális</w:t>
      </w:r>
      <w:proofErr w:type="spellEnd"/>
      <w:r w:rsidRPr="00FD4354">
        <w:rPr>
          <w:rFonts w:ascii="Times New Roman" w:eastAsia="Times New Roman" w:hAnsi="Times New Roman" w:cs="Times New Roman"/>
          <w:i/>
          <w:sz w:val="24"/>
          <w:szCs w:val="24"/>
          <w:lang w:val="en-US" w:eastAsia="hu-HU"/>
        </w:rPr>
        <w:t xml:space="preserve"> </w:t>
      </w:r>
      <w:proofErr w:type="spellStart"/>
      <w:r w:rsidRPr="00FD4354">
        <w:rPr>
          <w:rFonts w:ascii="Times New Roman" w:eastAsia="Times New Roman" w:hAnsi="Times New Roman" w:cs="Times New Roman"/>
          <w:i/>
          <w:sz w:val="24"/>
          <w:szCs w:val="24"/>
          <w:lang w:val="en-US" w:eastAsia="hu-HU"/>
        </w:rPr>
        <w:t>folyamatok</w:t>
      </w:r>
      <w:proofErr w:type="spellEnd"/>
      <w:r w:rsidRPr="00FD4354">
        <w:rPr>
          <w:rFonts w:ascii="Times New Roman" w:eastAsia="Times New Roman" w:hAnsi="Times New Roman" w:cs="Times New Roman"/>
          <w:i/>
          <w:sz w:val="24"/>
          <w:szCs w:val="24"/>
          <w:lang w:val="en-US" w:eastAsia="hu-HU"/>
        </w:rPr>
        <w:t xml:space="preserve"> </w:t>
      </w:r>
      <w:proofErr w:type="spellStart"/>
      <w:r w:rsidRPr="00FD4354">
        <w:rPr>
          <w:rFonts w:ascii="Times New Roman" w:eastAsia="Times New Roman" w:hAnsi="Times New Roman" w:cs="Times New Roman"/>
          <w:i/>
          <w:sz w:val="24"/>
          <w:szCs w:val="24"/>
          <w:lang w:val="en-US" w:eastAsia="hu-HU"/>
        </w:rPr>
        <w:t>Magyarországon</w:t>
      </w:r>
      <w:proofErr w:type="spellEnd"/>
      <w:r w:rsidRPr="00FD4354">
        <w:rPr>
          <w:rFonts w:ascii="Times New Roman" w:eastAsia="Times New Roman" w:hAnsi="Times New Roman" w:cs="Times New Roman"/>
          <w:i/>
          <w:sz w:val="24"/>
          <w:szCs w:val="24"/>
          <w:lang w:val="en-US" w:eastAsia="hu-HU"/>
        </w:rPr>
        <w:t>. - Ember–</w:t>
      </w:r>
      <w:proofErr w:type="spellStart"/>
      <w:r w:rsidRPr="00FD4354">
        <w:rPr>
          <w:rFonts w:ascii="Times New Roman" w:eastAsia="Times New Roman" w:hAnsi="Times New Roman" w:cs="Times New Roman"/>
          <w:i/>
          <w:sz w:val="24"/>
          <w:szCs w:val="24"/>
          <w:lang w:val="en-US" w:eastAsia="hu-HU"/>
        </w:rPr>
        <w:t>Település</w:t>
      </w:r>
      <w:proofErr w:type="spellEnd"/>
      <w:r w:rsidRPr="00FD4354">
        <w:rPr>
          <w:rFonts w:ascii="Times New Roman" w:eastAsia="Times New Roman" w:hAnsi="Times New Roman" w:cs="Times New Roman"/>
          <w:i/>
          <w:sz w:val="24"/>
          <w:szCs w:val="24"/>
          <w:lang w:val="en-US" w:eastAsia="hu-HU"/>
        </w:rPr>
        <w:t>–</w:t>
      </w:r>
      <w:proofErr w:type="spellStart"/>
      <w:r w:rsidRPr="00FD4354">
        <w:rPr>
          <w:rFonts w:ascii="Times New Roman" w:eastAsia="Times New Roman" w:hAnsi="Times New Roman" w:cs="Times New Roman"/>
          <w:i/>
          <w:sz w:val="24"/>
          <w:szCs w:val="24"/>
          <w:lang w:val="en-US" w:eastAsia="hu-HU"/>
        </w:rPr>
        <w:t>Régió</w:t>
      </w:r>
      <w:proofErr w:type="spellEnd"/>
      <w:r w:rsidRPr="00FD4354">
        <w:rPr>
          <w:rFonts w:ascii="Times New Roman" w:eastAsia="Times New Roman" w:hAnsi="Times New Roman" w:cs="Times New Roman"/>
          <w:i/>
          <w:sz w:val="24"/>
          <w:szCs w:val="24"/>
          <w:lang w:eastAsia="hu-HU"/>
        </w:rPr>
        <w:t>.</w:t>
      </w:r>
      <w:r w:rsidRPr="00FD4354">
        <w:rPr>
          <w:rFonts w:ascii="Times New Roman" w:eastAsia="Times New Roman" w:hAnsi="Times New Roman" w:cs="Times New Roman"/>
          <w:sz w:val="24"/>
          <w:szCs w:val="24"/>
          <w:lang w:eastAsia="hu-HU"/>
        </w:rPr>
        <w:t xml:space="preserve"> Hilscher Rezső Szociálpolitikai Egyesület, Budapest, 1996, p. 138.</w:t>
      </w:r>
    </w:p>
    <w:p w14:paraId="468DC6B2" w14:textId="77777777" w:rsidR="00FD4354" w:rsidRPr="00FD4354" w:rsidRDefault="00FD4354" w:rsidP="00FD4354">
      <w:pPr>
        <w:shd w:val="clear" w:color="auto" w:fill="FFFFFF"/>
        <w:spacing w:after="120" w:line="240" w:lineRule="auto"/>
        <w:jc w:val="both"/>
        <w:rPr>
          <w:rFonts w:ascii="Times New Roman" w:eastAsia="Times New Roman" w:hAnsi="Times New Roman" w:cs="Times New Roman"/>
          <w:bCs/>
          <w:caps/>
          <w:sz w:val="24"/>
          <w:szCs w:val="24"/>
          <w:lang w:eastAsia="hu-HU"/>
        </w:rPr>
      </w:pPr>
      <w:r w:rsidRPr="00FD4354">
        <w:rPr>
          <w:rFonts w:ascii="Times New Roman" w:eastAsia="Times New Roman" w:hAnsi="Times New Roman" w:cs="Times New Roman"/>
          <w:bCs/>
          <w:sz w:val="24"/>
          <w:szCs w:val="24"/>
          <w:lang w:eastAsia="hu-HU"/>
        </w:rPr>
        <w:t xml:space="preserve">HORECZKI R. (2022): Falvak és a megkésett urbanizmus kapcsolata Illés Iván korai munkáiban. In: </w:t>
      </w:r>
      <w:r w:rsidRPr="00FD4354">
        <w:rPr>
          <w:rFonts w:ascii="Times New Roman" w:eastAsia="Times New Roman" w:hAnsi="Times New Roman" w:cs="Times New Roman"/>
          <w:bCs/>
          <w:caps/>
          <w:sz w:val="24"/>
          <w:szCs w:val="24"/>
          <w:lang w:eastAsia="hu-HU"/>
        </w:rPr>
        <w:t>Nemes Nagy</w:t>
      </w:r>
      <w:r w:rsidRPr="00FD4354">
        <w:rPr>
          <w:rFonts w:ascii="Times New Roman" w:eastAsia="Times New Roman" w:hAnsi="Times New Roman" w:cs="Times New Roman"/>
          <w:bCs/>
          <w:sz w:val="24"/>
          <w:szCs w:val="24"/>
          <w:lang w:eastAsia="hu-HU"/>
        </w:rPr>
        <w:t xml:space="preserve">, J. </w:t>
      </w:r>
      <w:r w:rsidRPr="00FD4354">
        <w:rPr>
          <w:rFonts w:ascii="Times New Roman" w:eastAsia="Times New Roman" w:hAnsi="Times New Roman" w:cs="Times New Roman"/>
          <w:caps/>
          <w:sz w:val="24"/>
          <w:szCs w:val="24"/>
          <w:lang w:eastAsia="hu-HU"/>
        </w:rPr>
        <w:t>–</w:t>
      </w:r>
      <w:r w:rsidRPr="00FD4354">
        <w:rPr>
          <w:rFonts w:ascii="Times New Roman" w:eastAsia="Times New Roman" w:hAnsi="Times New Roman" w:cs="Times New Roman"/>
          <w:bCs/>
          <w:sz w:val="24"/>
          <w:szCs w:val="24"/>
          <w:lang w:eastAsia="hu-HU"/>
        </w:rPr>
        <w:t xml:space="preserve"> </w:t>
      </w:r>
      <w:r w:rsidRPr="00FD4354">
        <w:rPr>
          <w:rFonts w:ascii="Times New Roman" w:eastAsia="Times New Roman" w:hAnsi="Times New Roman" w:cs="Times New Roman"/>
          <w:bCs/>
          <w:caps/>
          <w:sz w:val="24"/>
          <w:szCs w:val="24"/>
          <w:lang w:eastAsia="hu-HU"/>
        </w:rPr>
        <w:t>Pálné Kovács</w:t>
      </w:r>
      <w:r w:rsidRPr="00FD4354">
        <w:rPr>
          <w:rFonts w:ascii="Times New Roman" w:eastAsia="Times New Roman" w:hAnsi="Times New Roman" w:cs="Times New Roman"/>
          <w:bCs/>
          <w:sz w:val="24"/>
          <w:szCs w:val="24"/>
          <w:lang w:eastAsia="hu-HU"/>
        </w:rPr>
        <w:t xml:space="preserve">, I. szerk. (2022): </w:t>
      </w:r>
      <w:r w:rsidRPr="00FD4354">
        <w:rPr>
          <w:rFonts w:ascii="Times New Roman" w:eastAsia="Times New Roman" w:hAnsi="Times New Roman" w:cs="Times New Roman"/>
          <w:bCs/>
          <w:i/>
          <w:sz w:val="24"/>
          <w:szCs w:val="24"/>
          <w:lang w:eastAsia="hu-HU"/>
        </w:rPr>
        <w:t>A regionalizmus: az elmélettől a gyakorlatig: Illés Ivánra emlékezve 80. születésnapja alkalmából.</w:t>
      </w:r>
      <w:r w:rsidRPr="00FD4354">
        <w:rPr>
          <w:rFonts w:ascii="Times New Roman" w:eastAsia="Times New Roman" w:hAnsi="Times New Roman" w:cs="Times New Roman"/>
          <w:bCs/>
          <w:sz w:val="24"/>
          <w:szCs w:val="24"/>
          <w:lang w:eastAsia="hu-HU"/>
        </w:rPr>
        <w:t xml:space="preserve"> Publikon Kiadó (2022), Pécs, Magyarország. 273 p., pp. 241-249.</w:t>
      </w:r>
    </w:p>
    <w:p w14:paraId="480C7181" w14:textId="77777777" w:rsidR="00FD4354" w:rsidRPr="00FD4354" w:rsidRDefault="00FD4354" w:rsidP="00FD4354">
      <w:pPr>
        <w:spacing w:after="120" w:line="240" w:lineRule="auto"/>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Howaldt, J. – Schwarz, M.</w:t>
      </w:r>
      <w:r w:rsidRPr="00FD4354">
        <w:rPr>
          <w:rFonts w:ascii="Times New Roman" w:eastAsia="Times New Roman" w:hAnsi="Times New Roman" w:cs="Times New Roman"/>
          <w:sz w:val="24"/>
          <w:szCs w:val="24"/>
          <w:lang w:eastAsia="hu-HU"/>
        </w:rPr>
        <w:t xml:space="preserve"> (2010): Social Innovation: Concepts, Research Fields and International Trends. In: </w:t>
      </w:r>
      <w:r w:rsidRPr="00FD4354">
        <w:rPr>
          <w:rFonts w:ascii="Times New Roman" w:eastAsia="Times New Roman" w:hAnsi="Times New Roman" w:cs="Times New Roman"/>
          <w:caps/>
          <w:sz w:val="24"/>
          <w:szCs w:val="24"/>
          <w:lang w:eastAsia="hu-HU"/>
        </w:rPr>
        <w:t xml:space="preserve">Henning, K. &amp; Hees, F. </w:t>
      </w:r>
      <w:r w:rsidRPr="00FD4354">
        <w:rPr>
          <w:rFonts w:ascii="Times New Roman" w:eastAsia="Times New Roman" w:hAnsi="Times New Roman" w:cs="Times New Roman"/>
          <w:sz w:val="24"/>
          <w:szCs w:val="24"/>
          <w:lang w:eastAsia="hu-HU"/>
        </w:rPr>
        <w:t xml:space="preserve">szerk. (2010): </w:t>
      </w:r>
      <w:r w:rsidRPr="00FD4354">
        <w:rPr>
          <w:rFonts w:ascii="Times New Roman" w:eastAsia="Times New Roman" w:hAnsi="Times New Roman" w:cs="Times New Roman"/>
          <w:i/>
          <w:iCs/>
          <w:sz w:val="24"/>
          <w:szCs w:val="24"/>
          <w:lang w:eastAsia="hu-HU"/>
        </w:rPr>
        <w:t>Studies for innovation in a modern working environment: International monitoring</w:t>
      </w:r>
      <w:r w:rsidRPr="00FD4354">
        <w:rPr>
          <w:rFonts w:ascii="Times New Roman" w:eastAsia="Times New Roman" w:hAnsi="Times New Roman" w:cs="Times New Roman"/>
          <w:sz w:val="24"/>
          <w:szCs w:val="24"/>
          <w:lang w:eastAsia="hu-HU"/>
        </w:rPr>
        <w:t>. IMA/ZLW, p.78</w:t>
      </w:r>
    </w:p>
    <w:p w14:paraId="206B4FB6" w14:textId="77777777" w:rsidR="00FD4354" w:rsidRPr="00FD4354" w:rsidRDefault="00FD4354" w:rsidP="00FD4354">
      <w:pPr>
        <w:spacing w:after="120" w:line="240" w:lineRule="auto"/>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ILLÉS I. (2008): </w:t>
      </w:r>
      <w:r w:rsidRPr="00FD4354">
        <w:rPr>
          <w:rFonts w:ascii="Times New Roman" w:eastAsia="Times New Roman" w:hAnsi="Times New Roman" w:cs="Times New Roman"/>
          <w:i/>
          <w:iCs/>
          <w:sz w:val="24"/>
          <w:szCs w:val="24"/>
          <w:lang w:eastAsia="hu-HU"/>
        </w:rPr>
        <w:t>Regionális gazdaságtan – Területfejlesztés.</w:t>
      </w:r>
      <w:r w:rsidRPr="00FD4354">
        <w:rPr>
          <w:rFonts w:ascii="Times New Roman" w:eastAsia="Times New Roman" w:hAnsi="Times New Roman" w:cs="Times New Roman"/>
          <w:sz w:val="24"/>
          <w:szCs w:val="24"/>
          <w:lang w:eastAsia="hu-HU"/>
        </w:rPr>
        <w:t xml:space="preserve"> TYPOTEX Kiadó (2008), Budapest. 262 p., pp. 119-139.</w:t>
      </w:r>
    </w:p>
    <w:p w14:paraId="4FDDB788"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KESZEY J. (2022): Egyéni kutatási beszámoló – Keszey Judit. „Életek és ételek Bakonynánáról”. Egyéni kutatási beszámoló a Bakony Ékkövei projektben</w:t>
      </w:r>
    </w:p>
    <w:p w14:paraId="07D6C203"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lastRenderedPageBreak/>
        <w:t>KISS J. P. (2022): Nagyesztergár, Bakonynána, Jásd és Tés: áttekintő helyzetkép és településközi kapcsolatok. Egyéni kutatási beszámoló a Bakony Ékkövei projektben</w:t>
      </w:r>
    </w:p>
    <w:p w14:paraId="54DDAC41"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LETENYEI L. szerk. (2005): </w:t>
      </w:r>
      <w:r w:rsidRPr="00FD4354">
        <w:rPr>
          <w:rFonts w:ascii="Times New Roman" w:eastAsia="Times New Roman" w:hAnsi="Times New Roman" w:cs="Times New Roman"/>
          <w:i/>
          <w:iCs/>
          <w:sz w:val="24"/>
          <w:szCs w:val="24"/>
          <w:shd w:val="clear" w:color="auto" w:fill="FFFFFF"/>
          <w:lang w:eastAsia="hu-HU"/>
        </w:rPr>
        <w:t xml:space="preserve">Településkutatás: Módszertani kézikönyv és szöveggyűjtemény. </w:t>
      </w:r>
      <w:r w:rsidRPr="00FD4354">
        <w:rPr>
          <w:rFonts w:ascii="Times New Roman" w:eastAsia="Times New Roman" w:hAnsi="Times New Roman" w:cs="Times New Roman"/>
          <w:sz w:val="24"/>
          <w:szCs w:val="24"/>
          <w:shd w:val="clear" w:color="auto" w:fill="FFFFFF"/>
          <w:lang w:eastAsia="hu-HU"/>
        </w:rPr>
        <w:t xml:space="preserve">TeTT könyvek. ISBN 963-0606-24-0. p 684. </w:t>
      </w:r>
      <w:r w:rsidRPr="00FD4354">
        <w:rPr>
          <w:rFonts w:ascii="Times New Roman" w:eastAsia="Times New Roman" w:hAnsi="Times New Roman" w:cs="Times New Roman"/>
          <w:sz w:val="24"/>
          <w:szCs w:val="24"/>
          <w:lang w:eastAsia="hu-HU"/>
        </w:rPr>
        <w:t>(</w:t>
      </w:r>
      <w:hyperlink r:id="rId21" w:history="1">
        <w:r w:rsidRPr="00FD4354">
          <w:rPr>
            <w:rFonts w:ascii="Times New Roman" w:eastAsia="Times New Roman" w:hAnsi="Times New Roman" w:cs="Times New Roman"/>
            <w:sz w:val="24"/>
            <w:szCs w:val="24"/>
            <w:lang w:eastAsia="hu-HU"/>
          </w:rPr>
          <w:t>https://doi.org/10.14267/963-0606-24-0</w:t>
        </w:r>
      </w:hyperlink>
      <w:r w:rsidRPr="00FD4354">
        <w:rPr>
          <w:rFonts w:ascii="Times New Roman" w:eastAsia="Times New Roman" w:hAnsi="Times New Roman" w:cs="Times New Roman"/>
          <w:sz w:val="24"/>
          <w:szCs w:val="24"/>
          <w:lang w:eastAsia="hu-HU"/>
        </w:rPr>
        <w:t>)</w:t>
      </w:r>
    </w:p>
    <w:p w14:paraId="5726182C"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Lóránd B.</w:t>
      </w:r>
      <w:r w:rsidRPr="00FD4354">
        <w:rPr>
          <w:rFonts w:ascii="Times New Roman" w:eastAsia="Times New Roman" w:hAnsi="Times New Roman" w:cs="Times New Roman"/>
          <w:sz w:val="24"/>
          <w:szCs w:val="24"/>
          <w:lang w:eastAsia="hu-HU"/>
        </w:rPr>
        <w:t xml:space="preserve"> (2009): Konvergencia és fejlesztéspolitika az Európai Unióban és Magyarországon. Doktori disszertáció, Pécs.</w:t>
      </w:r>
    </w:p>
    <w:p w14:paraId="6B7A32AA"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Nemes Nagy</w:t>
      </w:r>
      <w:r w:rsidRPr="00FD4354">
        <w:rPr>
          <w:rFonts w:ascii="Times New Roman" w:eastAsia="Times New Roman" w:hAnsi="Times New Roman" w:cs="Times New Roman"/>
          <w:sz w:val="24"/>
          <w:szCs w:val="24"/>
          <w:lang w:eastAsia="hu-HU"/>
        </w:rPr>
        <w:t xml:space="preserve"> J. (2009): </w:t>
      </w:r>
      <w:r w:rsidRPr="00FD4354">
        <w:rPr>
          <w:rFonts w:ascii="Times New Roman" w:eastAsia="Times New Roman" w:hAnsi="Times New Roman" w:cs="Times New Roman"/>
          <w:i/>
          <w:iCs/>
          <w:sz w:val="24"/>
          <w:szCs w:val="24"/>
          <w:lang w:eastAsia="hu-HU"/>
        </w:rPr>
        <w:t>Terek, helyek, régiók - A regionális tudomány alapjai.</w:t>
      </w:r>
      <w:r w:rsidRPr="00FD4354">
        <w:rPr>
          <w:rFonts w:ascii="Times New Roman" w:eastAsia="Times New Roman" w:hAnsi="Times New Roman" w:cs="Times New Roman"/>
          <w:sz w:val="24"/>
          <w:szCs w:val="24"/>
          <w:lang w:eastAsia="hu-HU"/>
        </w:rPr>
        <w:t xml:space="preserve"> Akadémiai Kiadó (2009), Budapest, Magyarország. 350 p., pp. 202-251.</w:t>
      </w:r>
    </w:p>
    <w:p w14:paraId="49F68610"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Pénzes J.</w:t>
      </w:r>
      <w:r w:rsidRPr="00FD4354">
        <w:rPr>
          <w:rFonts w:ascii="Times New Roman" w:eastAsia="Times New Roman" w:hAnsi="Times New Roman" w:cs="Times New Roman"/>
          <w:sz w:val="24"/>
          <w:szCs w:val="24"/>
          <w:lang w:eastAsia="hu-HU"/>
        </w:rPr>
        <w:t xml:space="preserve"> (2012): Changes in the Spatial Income Structure of North-eastern Hungary After the Change of Regime. </w:t>
      </w:r>
      <w:r w:rsidRPr="00FD4354">
        <w:rPr>
          <w:rFonts w:ascii="Times New Roman" w:eastAsia="Times New Roman" w:hAnsi="Times New Roman" w:cs="Times New Roman"/>
          <w:i/>
          <w:sz w:val="24"/>
          <w:szCs w:val="24"/>
          <w:lang w:eastAsia="hu-HU"/>
        </w:rPr>
        <w:t>Regional Statistics 2</w:t>
      </w:r>
      <w:r w:rsidRPr="00FD4354">
        <w:rPr>
          <w:rFonts w:ascii="Times New Roman" w:eastAsia="Times New Roman" w:hAnsi="Times New Roman" w:cs="Times New Roman"/>
          <w:sz w:val="24"/>
          <w:szCs w:val="24"/>
          <w:lang w:eastAsia="hu-HU"/>
        </w:rPr>
        <w:t>: 90-107. (</w:t>
      </w:r>
      <w:hyperlink r:id="rId22" w:history="1">
        <w:r w:rsidRPr="00FD4354">
          <w:rPr>
            <w:rFonts w:ascii="Times New Roman" w:eastAsia="Times New Roman" w:hAnsi="Times New Roman" w:cs="Times New Roman"/>
            <w:sz w:val="24"/>
            <w:szCs w:val="24"/>
            <w:lang w:eastAsia="hu-HU"/>
          </w:rPr>
          <w:t>http://dx.doi.org/10.15196/RS02107</w:t>
        </w:r>
      </w:hyperlink>
      <w:r w:rsidRPr="00FD4354">
        <w:rPr>
          <w:rFonts w:ascii="Times New Roman" w:eastAsia="Times New Roman" w:hAnsi="Times New Roman" w:cs="Times New Roman"/>
          <w:sz w:val="24"/>
          <w:szCs w:val="24"/>
          <w:lang w:eastAsia="hu-HU"/>
        </w:rPr>
        <w:t>)</w:t>
      </w:r>
    </w:p>
    <w:p w14:paraId="1181F9A5"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 xml:space="preserve">Pol, E. </w:t>
      </w:r>
      <w:r w:rsidRPr="00FD4354">
        <w:rPr>
          <w:rFonts w:ascii="Times New Roman" w:eastAsia="Calibri" w:hAnsi="Times New Roman" w:cs="Times New Roman"/>
          <w:caps/>
          <w:sz w:val="24"/>
          <w:szCs w:val="24"/>
        </w:rPr>
        <w:t xml:space="preserve">– </w:t>
      </w:r>
      <w:r w:rsidRPr="00FD4354">
        <w:rPr>
          <w:rFonts w:ascii="Times New Roman" w:eastAsia="Times New Roman" w:hAnsi="Times New Roman" w:cs="Times New Roman"/>
          <w:caps/>
          <w:sz w:val="24"/>
          <w:szCs w:val="24"/>
          <w:lang w:eastAsia="hu-HU"/>
        </w:rPr>
        <w:t>Ville, S.</w:t>
      </w:r>
      <w:r w:rsidRPr="00FD4354">
        <w:rPr>
          <w:rFonts w:ascii="Times New Roman" w:eastAsia="Times New Roman" w:hAnsi="Times New Roman" w:cs="Times New Roman"/>
          <w:sz w:val="24"/>
          <w:szCs w:val="24"/>
          <w:lang w:eastAsia="hu-HU"/>
        </w:rPr>
        <w:t xml:space="preserve"> (2009): Social innovation: Buzz word or enduring term? </w:t>
      </w:r>
      <w:r w:rsidRPr="00FD4354">
        <w:rPr>
          <w:rFonts w:ascii="Times New Roman" w:eastAsia="Times New Roman" w:hAnsi="Times New Roman" w:cs="Times New Roman"/>
          <w:i/>
          <w:iCs/>
          <w:sz w:val="24"/>
          <w:szCs w:val="24"/>
          <w:lang w:eastAsia="hu-HU"/>
        </w:rPr>
        <w:t>The Journal of Socio-Economics 38</w:t>
      </w:r>
      <w:r w:rsidRPr="00FD4354">
        <w:rPr>
          <w:rFonts w:ascii="Times New Roman" w:eastAsia="Times New Roman" w:hAnsi="Times New Roman" w:cs="Times New Roman"/>
          <w:sz w:val="24"/>
          <w:szCs w:val="24"/>
          <w:lang w:eastAsia="hu-HU"/>
        </w:rPr>
        <w:t>: 878–885. (</w:t>
      </w:r>
      <w:hyperlink r:id="rId23" w:history="1">
        <w:r w:rsidRPr="00FD4354">
          <w:rPr>
            <w:rFonts w:ascii="Times New Roman" w:eastAsia="Times New Roman" w:hAnsi="Times New Roman" w:cs="Times New Roman"/>
            <w:sz w:val="24"/>
            <w:szCs w:val="24"/>
            <w:lang w:eastAsia="hu-HU"/>
          </w:rPr>
          <w:t>https://doi.org/10.1016/j.socec.2009.02.011</w:t>
        </w:r>
      </w:hyperlink>
      <w:r w:rsidRPr="00FD4354">
        <w:rPr>
          <w:rFonts w:ascii="Times New Roman" w:eastAsia="Times New Roman" w:hAnsi="Times New Roman" w:cs="Times New Roman"/>
          <w:sz w:val="24"/>
          <w:szCs w:val="24"/>
          <w:lang w:eastAsia="hu-HU"/>
        </w:rPr>
        <w:t>)</w:t>
      </w:r>
    </w:p>
    <w:p w14:paraId="4252DCA6"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caps/>
          <w:sz w:val="24"/>
          <w:szCs w:val="24"/>
          <w:lang w:eastAsia="hu-HU"/>
        </w:rPr>
        <w:t>Rodríguez-Pose, A. – Wilkie, C.</w:t>
      </w:r>
      <w:r w:rsidRPr="00FD4354">
        <w:rPr>
          <w:rFonts w:ascii="Times New Roman" w:eastAsia="Times New Roman" w:hAnsi="Times New Roman" w:cs="Times New Roman"/>
          <w:sz w:val="24"/>
          <w:szCs w:val="24"/>
          <w:lang w:eastAsia="hu-HU"/>
        </w:rPr>
        <w:t xml:space="preserve"> (2017): Revamping Local and Regional Development Through Place-Based Strategies. </w:t>
      </w:r>
      <w:r w:rsidRPr="00FD4354">
        <w:rPr>
          <w:rFonts w:ascii="Times New Roman" w:eastAsia="Times New Roman" w:hAnsi="Times New Roman" w:cs="Times New Roman"/>
          <w:i/>
          <w:sz w:val="24"/>
          <w:szCs w:val="24"/>
          <w:lang w:eastAsia="hu-HU"/>
        </w:rPr>
        <w:t>Cityscape</w:t>
      </w:r>
      <w:r w:rsidRPr="00FD4354">
        <w:rPr>
          <w:rFonts w:ascii="Times New Roman" w:eastAsia="Times New Roman" w:hAnsi="Times New Roman" w:cs="Times New Roman"/>
          <w:sz w:val="24"/>
          <w:szCs w:val="24"/>
          <w:lang w:eastAsia="hu-HU"/>
        </w:rPr>
        <w:t xml:space="preserve"> </w:t>
      </w:r>
      <w:r w:rsidRPr="00FD4354">
        <w:rPr>
          <w:rFonts w:ascii="Times New Roman" w:eastAsia="Times New Roman" w:hAnsi="Times New Roman" w:cs="Times New Roman"/>
          <w:i/>
          <w:sz w:val="24"/>
          <w:szCs w:val="24"/>
          <w:lang w:eastAsia="hu-HU"/>
        </w:rPr>
        <w:t>19</w:t>
      </w:r>
      <w:r w:rsidRPr="00FD4354">
        <w:rPr>
          <w:rFonts w:ascii="Times New Roman" w:eastAsia="Times New Roman" w:hAnsi="Times New Roman" w:cs="Times New Roman"/>
          <w:sz w:val="24"/>
          <w:szCs w:val="24"/>
          <w:lang w:eastAsia="hu-HU"/>
        </w:rPr>
        <w:t>(1): 151-170. (</w:t>
      </w:r>
      <w:hyperlink r:id="rId24" w:history="1">
        <w:r w:rsidRPr="00FD4354">
          <w:rPr>
            <w:rFonts w:ascii="Times New Roman" w:eastAsia="Times New Roman" w:hAnsi="Times New Roman" w:cs="Times New Roman"/>
            <w:sz w:val="24"/>
            <w:szCs w:val="24"/>
            <w:lang w:eastAsia="hu-HU"/>
          </w:rPr>
          <w:t>http://www.jstor.org/stable/26328304</w:t>
        </w:r>
      </w:hyperlink>
      <w:r w:rsidRPr="00FD4354">
        <w:rPr>
          <w:rFonts w:ascii="Times New Roman" w:eastAsia="Times New Roman" w:hAnsi="Times New Roman" w:cs="Times New Roman"/>
          <w:sz w:val="24"/>
          <w:szCs w:val="24"/>
          <w:lang w:eastAsia="hu-HU"/>
        </w:rPr>
        <w:t>)</w:t>
      </w:r>
    </w:p>
    <w:p w14:paraId="7FE79E7F"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b/>
          <w:bCs/>
          <w:sz w:val="24"/>
          <w:szCs w:val="24"/>
          <w:lang w:eastAsia="hu-HU"/>
        </w:rPr>
      </w:pPr>
      <w:r w:rsidRPr="00FD4354">
        <w:rPr>
          <w:rFonts w:ascii="Times New Roman" w:eastAsia="Times New Roman" w:hAnsi="Times New Roman" w:cs="Times New Roman"/>
          <w:b/>
          <w:bCs/>
          <w:sz w:val="24"/>
          <w:szCs w:val="24"/>
          <w:lang w:eastAsia="hu-HU"/>
        </w:rPr>
        <w:t>Egyéb források</w:t>
      </w:r>
    </w:p>
    <w:p w14:paraId="73B8784D"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A jásdi Bodzaház hivatalos weboldala: https://www.bodzahazjasd.hu/ (2022. 11. 11.)</w:t>
      </w:r>
    </w:p>
    <w:p w14:paraId="06EC2015"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KESZEY, J (2022): Életek és ételek. </w:t>
      </w:r>
      <w:hyperlink r:id="rId25" w:history="1">
        <w:r w:rsidRPr="00FD4354">
          <w:rPr>
            <w:rFonts w:ascii="Times New Roman" w:eastAsia="Times New Roman" w:hAnsi="Times New Roman" w:cs="Times New Roman"/>
            <w:sz w:val="24"/>
            <w:szCs w:val="24"/>
            <w:lang w:eastAsia="hu-HU"/>
          </w:rPr>
          <w:t>https://youtube.com/playlist?list=PL8h5UM-YpfS4uOqf18d469ILSPBFsJbfl</w:t>
        </w:r>
      </w:hyperlink>
      <w:r w:rsidRPr="00FD4354">
        <w:rPr>
          <w:rFonts w:ascii="Times New Roman" w:eastAsia="Times New Roman" w:hAnsi="Times New Roman" w:cs="Times New Roman"/>
          <w:sz w:val="24"/>
          <w:szCs w:val="24"/>
          <w:lang w:eastAsia="hu-HU"/>
        </w:rPr>
        <w:t xml:space="preserve"> (2022. 11. 11.)</w:t>
      </w:r>
    </w:p>
    <w:p w14:paraId="2B976DB8"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Kutatói pályázat: Veszprém-Balaton 2023 EKF Program Bakony Társadalmi Innovációs Projekt: </w:t>
      </w:r>
      <w:hyperlink r:id="rId26" w:history="1">
        <w:r w:rsidRPr="00FD4354">
          <w:rPr>
            <w:rFonts w:ascii="Times New Roman" w:eastAsia="Times New Roman" w:hAnsi="Times New Roman" w:cs="Times New Roman"/>
            <w:sz w:val="24"/>
            <w:szCs w:val="24"/>
            <w:lang w:eastAsia="hu-HU"/>
          </w:rPr>
          <w:t>https://iask.hu/hu/kutatoi-palyazati-felhivas-semmi-kulonos-hatarido-2022-aprilis-27/</w:t>
        </w:r>
      </w:hyperlink>
      <w:r w:rsidRPr="00FD4354">
        <w:rPr>
          <w:rFonts w:ascii="Times New Roman" w:eastAsia="Times New Roman" w:hAnsi="Times New Roman" w:cs="Times New Roman"/>
          <w:sz w:val="24"/>
          <w:szCs w:val="24"/>
          <w:lang w:eastAsia="hu-HU"/>
        </w:rPr>
        <w:t xml:space="preserve"> (2022. 11. 15.)</w:t>
      </w:r>
    </w:p>
    <w:p w14:paraId="6B58E623" w14:textId="77777777" w:rsidR="00FD4354" w:rsidRPr="00FD4354" w:rsidRDefault="00FD4354" w:rsidP="00FD4354">
      <w:pPr>
        <w:shd w:val="clear" w:color="auto" w:fill="FFFFFF"/>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Központi Statisztikai Hivatal: </w:t>
      </w:r>
      <w:hyperlink r:id="rId27" w:history="1">
        <w:r w:rsidRPr="00FD4354">
          <w:rPr>
            <w:rFonts w:ascii="Times New Roman" w:eastAsia="Times New Roman" w:hAnsi="Times New Roman" w:cs="Times New Roman"/>
            <w:sz w:val="24"/>
            <w:szCs w:val="24"/>
            <w:lang w:eastAsia="hu-HU"/>
          </w:rPr>
          <w:t>www.ksh.hu</w:t>
        </w:r>
      </w:hyperlink>
      <w:r w:rsidRPr="00FD4354">
        <w:rPr>
          <w:rFonts w:ascii="Times New Roman" w:eastAsia="Times New Roman" w:hAnsi="Times New Roman" w:cs="Times New Roman"/>
          <w:sz w:val="24"/>
          <w:szCs w:val="24"/>
          <w:lang w:eastAsia="hu-HU"/>
        </w:rPr>
        <w:t xml:space="preserve"> (2022. 11. 11.)</w:t>
      </w:r>
    </w:p>
    <w:p w14:paraId="4C81B2B1" w14:textId="77777777" w:rsidR="00FD4354" w:rsidRPr="00FD4354" w:rsidRDefault="00FD4354" w:rsidP="00FD4354">
      <w:pPr>
        <w:spacing w:before="120" w:after="120" w:line="240" w:lineRule="auto"/>
        <w:jc w:val="both"/>
        <w:rPr>
          <w:rFonts w:ascii="Times New Roman" w:eastAsia="Calibri" w:hAnsi="Times New Roman" w:cs="Times New Roman"/>
          <w:sz w:val="24"/>
          <w:szCs w:val="24"/>
        </w:rPr>
      </w:pPr>
      <w:r w:rsidRPr="00FD4354">
        <w:rPr>
          <w:rFonts w:ascii="Times New Roman" w:eastAsia="Calibri" w:hAnsi="Times New Roman" w:cs="Times New Roman"/>
          <w:bCs/>
          <w:sz w:val="24"/>
          <w:szCs w:val="24"/>
        </w:rPr>
        <w:t xml:space="preserve">Központi Statisztikai Hivatal Magyarország Helységnévtára: </w:t>
      </w:r>
      <w:hyperlink r:id="rId28" w:history="1">
        <w:r w:rsidRPr="00FD4354">
          <w:rPr>
            <w:rFonts w:ascii="Times New Roman" w:eastAsia="Calibri" w:hAnsi="Times New Roman" w:cs="Times New Roman"/>
            <w:bCs/>
            <w:sz w:val="24"/>
            <w:szCs w:val="24"/>
          </w:rPr>
          <w:t>https://www.ksh.hu/apps/hntr.main?p_lang=HU</w:t>
        </w:r>
      </w:hyperlink>
      <w:r w:rsidRPr="00FD4354">
        <w:rPr>
          <w:rFonts w:ascii="Times New Roman" w:eastAsia="Calibri" w:hAnsi="Times New Roman" w:cs="Times New Roman"/>
          <w:bCs/>
          <w:sz w:val="24"/>
          <w:szCs w:val="24"/>
        </w:rPr>
        <w:t xml:space="preserve"> (2022.12.10.)</w:t>
      </w:r>
    </w:p>
    <w:p w14:paraId="26B11262" w14:textId="77777777" w:rsidR="00FD4354" w:rsidRPr="00FD4354" w:rsidRDefault="00FD4354" w:rsidP="00FD4354">
      <w:pPr>
        <w:spacing w:before="120" w:after="120" w:line="240" w:lineRule="auto"/>
        <w:jc w:val="both"/>
        <w:rPr>
          <w:rFonts w:ascii="Times New Roman" w:eastAsia="Times New Roman" w:hAnsi="Times New Roman" w:cs="Times New Roman"/>
          <w:sz w:val="24"/>
          <w:szCs w:val="24"/>
          <w:lang w:eastAsia="hu-HU"/>
        </w:rPr>
      </w:pPr>
      <w:r w:rsidRPr="00FD4354">
        <w:rPr>
          <w:rFonts w:ascii="Times New Roman" w:eastAsia="Times New Roman" w:hAnsi="Times New Roman" w:cs="Times New Roman"/>
          <w:sz w:val="24"/>
          <w:szCs w:val="24"/>
          <w:lang w:eastAsia="hu-HU"/>
        </w:rPr>
        <w:t xml:space="preserve">LÁNCZI P. (2022): „A Kéktúra legszebb szakaszán, Bakonynána és Tés között”. Természetjáró Turista Magazin: </w:t>
      </w:r>
      <w:hyperlink r:id="rId29" w:history="1">
        <w:r w:rsidRPr="00FD4354">
          <w:rPr>
            <w:rFonts w:ascii="Times New Roman" w:eastAsia="Times New Roman" w:hAnsi="Times New Roman" w:cs="Times New Roman"/>
            <w:sz w:val="24"/>
            <w:szCs w:val="24"/>
            <w:lang w:eastAsia="hu-HU"/>
          </w:rPr>
          <w:t>https://www.turistamagazin.hu/hir/a-kektura-legszebb-szakaszan-bakonynana-es-tes-kozott</w:t>
        </w:r>
      </w:hyperlink>
      <w:r w:rsidRPr="00FD4354">
        <w:rPr>
          <w:rFonts w:ascii="Times New Roman" w:eastAsia="Times New Roman" w:hAnsi="Times New Roman" w:cs="Times New Roman"/>
          <w:sz w:val="24"/>
          <w:szCs w:val="24"/>
          <w:lang w:eastAsia="hu-HU"/>
        </w:rPr>
        <w:t xml:space="preserve"> (2022. 11. 11.)</w:t>
      </w:r>
    </w:p>
    <w:p w14:paraId="721B0A85" w14:textId="77777777" w:rsidR="00FD4354" w:rsidRPr="00FD4354" w:rsidRDefault="00FD4354" w:rsidP="00FD4354">
      <w:pPr>
        <w:spacing w:after="120"/>
        <w:rPr>
          <w:rFonts w:ascii="Times New Roman" w:eastAsia="Calibri" w:hAnsi="Times New Roman" w:cs="Times New Roman"/>
        </w:rPr>
      </w:pPr>
    </w:p>
    <w:p w14:paraId="6E864A4F" w14:textId="4081FBEA" w:rsidR="00045ACE" w:rsidRPr="00FD4354" w:rsidRDefault="00045ACE" w:rsidP="00FD4354"/>
    <w:sectPr w:rsidR="00045ACE" w:rsidRPr="00FD43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C219" w14:textId="77777777" w:rsidR="00A038E5" w:rsidRDefault="00A038E5" w:rsidP="00936945">
      <w:pPr>
        <w:spacing w:after="0" w:line="240" w:lineRule="auto"/>
      </w:pPr>
      <w:r>
        <w:separator/>
      </w:r>
    </w:p>
  </w:endnote>
  <w:endnote w:type="continuationSeparator" w:id="0">
    <w:p w14:paraId="62829121" w14:textId="77777777" w:rsidR="00A038E5" w:rsidRDefault="00A038E5" w:rsidP="0093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875F" w14:textId="77777777" w:rsidR="00A038E5" w:rsidRDefault="00A038E5" w:rsidP="00936945">
      <w:pPr>
        <w:spacing w:after="0" w:line="240" w:lineRule="auto"/>
      </w:pPr>
      <w:r>
        <w:separator/>
      </w:r>
    </w:p>
  </w:footnote>
  <w:footnote w:type="continuationSeparator" w:id="0">
    <w:p w14:paraId="6A42C2A1" w14:textId="77777777" w:rsidR="00A038E5" w:rsidRDefault="00A038E5" w:rsidP="00936945">
      <w:pPr>
        <w:spacing w:after="0" w:line="240" w:lineRule="auto"/>
      </w:pPr>
      <w:r>
        <w:continuationSeparator/>
      </w:r>
    </w:p>
  </w:footnote>
  <w:footnote w:id="1">
    <w:p w14:paraId="487D51F2" w14:textId="77777777" w:rsidR="00FD4354" w:rsidRPr="000A122F" w:rsidRDefault="00FD4354" w:rsidP="00FD4354">
      <w:pPr>
        <w:pStyle w:val="FootnoteText"/>
        <w:rPr>
          <w:rFonts w:ascii="Times New Roman" w:hAnsi="Times New Roman"/>
        </w:rPr>
      </w:pPr>
      <w:r w:rsidRPr="000A122F">
        <w:rPr>
          <w:rStyle w:val="FootnoteReference"/>
          <w:rFonts w:ascii="Times New Roman" w:hAnsi="Times New Roman"/>
          <w:sz w:val="22"/>
          <w:szCs w:val="22"/>
        </w:rPr>
        <w:footnoteRef/>
      </w:r>
      <w:r w:rsidRPr="000A122F">
        <w:rPr>
          <w:rFonts w:ascii="Times New Roman" w:eastAsia="Times New Roman" w:hAnsi="Times New Roman"/>
          <w:bCs/>
          <w:sz w:val="22"/>
          <w:szCs w:val="28"/>
          <w:lang w:eastAsia="hu-HU"/>
        </w:rPr>
        <w:t xml:space="preserve"> </w:t>
      </w:r>
      <w:hyperlink r:id="rId1" w:history="1">
        <w:r w:rsidRPr="0027041A">
          <w:rPr>
            <w:rStyle w:val="Hyperlink"/>
            <w:rFonts w:ascii="Times New Roman" w:eastAsia="Times New Roman" w:hAnsi="Times New Roman"/>
            <w:bCs/>
            <w:color w:val="auto"/>
            <w:sz w:val="22"/>
            <w:szCs w:val="28"/>
            <w:u w:val="none"/>
            <w:lang w:eastAsia="hu-HU"/>
          </w:rPr>
          <w:t>https://www.ksh.hu/apps/hntr.main?p_lang=HU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067"/>
    <w:multiLevelType w:val="hybridMultilevel"/>
    <w:tmpl w:val="FAFAE8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2E5A02"/>
    <w:multiLevelType w:val="hybridMultilevel"/>
    <w:tmpl w:val="87DC99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B309D0"/>
    <w:multiLevelType w:val="hybridMultilevel"/>
    <w:tmpl w:val="67302B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BB36D0"/>
    <w:multiLevelType w:val="hybridMultilevel"/>
    <w:tmpl w:val="F54030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4C3C70"/>
    <w:multiLevelType w:val="hybridMultilevel"/>
    <w:tmpl w:val="954E7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2B0734"/>
    <w:multiLevelType w:val="hybridMultilevel"/>
    <w:tmpl w:val="2BEC6A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1F3D57"/>
    <w:multiLevelType w:val="hybridMultilevel"/>
    <w:tmpl w:val="B78891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DA68AF"/>
    <w:multiLevelType w:val="hybridMultilevel"/>
    <w:tmpl w:val="DE68D1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942CE1"/>
    <w:multiLevelType w:val="hybridMultilevel"/>
    <w:tmpl w:val="D3AC1C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7D7071"/>
    <w:multiLevelType w:val="multilevel"/>
    <w:tmpl w:val="A8C2C83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B8779A"/>
    <w:multiLevelType w:val="hybridMultilevel"/>
    <w:tmpl w:val="34F64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5F2182C"/>
    <w:multiLevelType w:val="hybridMultilevel"/>
    <w:tmpl w:val="27CAF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67B18B3"/>
    <w:multiLevelType w:val="hybridMultilevel"/>
    <w:tmpl w:val="6EAC4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F2C0055"/>
    <w:multiLevelType w:val="hybridMultilevel"/>
    <w:tmpl w:val="81FC2420"/>
    <w:lvl w:ilvl="0" w:tplc="040E0001">
      <w:start w:val="1"/>
      <w:numFmt w:val="bullet"/>
      <w:lvlText w:val=""/>
      <w:lvlJc w:val="left"/>
      <w:pPr>
        <w:ind w:left="720" w:hanging="360"/>
      </w:pPr>
      <w:rPr>
        <w:rFonts w:ascii="Symbol" w:hAnsi="Symbol" w:hint="default"/>
      </w:rPr>
    </w:lvl>
    <w:lvl w:ilvl="1" w:tplc="2EE0A208">
      <w:start w:val="2023"/>
      <w:numFmt w:val="bullet"/>
      <w:lvlText w:val="•"/>
      <w:lvlJc w:val="left"/>
      <w:pPr>
        <w:ind w:left="1790" w:hanging="71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09F2C12"/>
    <w:multiLevelType w:val="hybridMultilevel"/>
    <w:tmpl w:val="2A206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D17438"/>
    <w:multiLevelType w:val="hybridMultilevel"/>
    <w:tmpl w:val="A32EA4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9908A0"/>
    <w:multiLevelType w:val="hybridMultilevel"/>
    <w:tmpl w:val="10A4B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FC3F9A"/>
    <w:multiLevelType w:val="hybridMultilevel"/>
    <w:tmpl w:val="89C28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5F33A8"/>
    <w:multiLevelType w:val="hybridMultilevel"/>
    <w:tmpl w:val="B068F3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F58071A"/>
    <w:multiLevelType w:val="hybridMultilevel"/>
    <w:tmpl w:val="1BD0501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7276EE"/>
    <w:multiLevelType w:val="hybridMultilevel"/>
    <w:tmpl w:val="D9CE3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41C377A"/>
    <w:multiLevelType w:val="hybridMultilevel"/>
    <w:tmpl w:val="EA0A09B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2" w15:restartNumberingAfterBreak="0">
    <w:nsid w:val="75674E53"/>
    <w:multiLevelType w:val="hybridMultilevel"/>
    <w:tmpl w:val="03ECF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E92732"/>
    <w:multiLevelType w:val="hybridMultilevel"/>
    <w:tmpl w:val="40266B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7DC0BCA"/>
    <w:multiLevelType w:val="hybridMultilevel"/>
    <w:tmpl w:val="EAA69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8290BF1"/>
    <w:multiLevelType w:val="hybridMultilevel"/>
    <w:tmpl w:val="40266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3D00A1"/>
    <w:multiLevelType w:val="hybridMultilevel"/>
    <w:tmpl w:val="C21E9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78298316">
    <w:abstractNumId w:val="14"/>
  </w:num>
  <w:num w:numId="2" w16cid:durableId="1584608732">
    <w:abstractNumId w:val="18"/>
  </w:num>
  <w:num w:numId="3" w16cid:durableId="145129079">
    <w:abstractNumId w:val="23"/>
  </w:num>
  <w:num w:numId="4" w16cid:durableId="393354115">
    <w:abstractNumId w:val="25"/>
  </w:num>
  <w:num w:numId="5" w16cid:durableId="249657328">
    <w:abstractNumId w:val="10"/>
  </w:num>
  <w:num w:numId="6" w16cid:durableId="1724478225">
    <w:abstractNumId w:val="5"/>
  </w:num>
  <w:num w:numId="7" w16cid:durableId="1368339134">
    <w:abstractNumId w:val="22"/>
  </w:num>
  <w:num w:numId="8" w16cid:durableId="898785608">
    <w:abstractNumId w:val="16"/>
  </w:num>
  <w:num w:numId="9" w16cid:durableId="1808936151">
    <w:abstractNumId w:val="24"/>
  </w:num>
  <w:num w:numId="10" w16cid:durableId="501703185">
    <w:abstractNumId w:val="13"/>
  </w:num>
  <w:num w:numId="11" w16cid:durableId="207764762">
    <w:abstractNumId w:val="11"/>
  </w:num>
  <w:num w:numId="12" w16cid:durableId="47844674">
    <w:abstractNumId w:val="21"/>
  </w:num>
  <w:num w:numId="13" w16cid:durableId="1478961950">
    <w:abstractNumId w:val="4"/>
  </w:num>
  <w:num w:numId="14" w16cid:durableId="1942371678">
    <w:abstractNumId w:val="19"/>
  </w:num>
  <w:num w:numId="15" w16cid:durableId="334068267">
    <w:abstractNumId w:val="17"/>
  </w:num>
  <w:num w:numId="16" w16cid:durableId="654529323">
    <w:abstractNumId w:val="9"/>
  </w:num>
  <w:num w:numId="17" w16cid:durableId="130943262">
    <w:abstractNumId w:val="0"/>
  </w:num>
  <w:num w:numId="18" w16cid:durableId="1939294966">
    <w:abstractNumId w:val="2"/>
  </w:num>
  <w:num w:numId="19" w16cid:durableId="1843201971">
    <w:abstractNumId w:val="12"/>
  </w:num>
  <w:num w:numId="20" w16cid:durableId="783572490">
    <w:abstractNumId w:val="8"/>
  </w:num>
  <w:num w:numId="21" w16cid:durableId="1599825668">
    <w:abstractNumId w:val="26"/>
  </w:num>
  <w:num w:numId="22" w16cid:durableId="1583180029">
    <w:abstractNumId w:val="7"/>
  </w:num>
  <w:num w:numId="23" w16cid:durableId="1178495464">
    <w:abstractNumId w:val="15"/>
  </w:num>
  <w:num w:numId="24" w16cid:durableId="2084835790">
    <w:abstractNumId w:val="1"/>
  </w:num>
  <w:num w:numId="25" w16cid:durableId="1775052514">
    <w:abstractNumId w:val="3"/>
  </w:num>
  <w:num w:numId="26" w16cid:durableId="1886596484">
    <w:abstractNumId w:val="20"/>
  </w:num>
  <w:num w:numId="27" w16cid:durableId="522786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MDI3MTO3MDcxtzRX0lEKTi0uzszPAykwNKoFAFRsiYItAAAA"/>
  </w:docVars>
  <w:rsids>
    <w:rsidRoot w:val="00FC2BC2"/>
    <w:rsid w:val="00001929"/>
    <w:rsid w:val="00002575"/>
    <w:rsid w:val="00012B61"/>
    <w:rsid w:val="00015CD0"/>
    <w:rsid w:val="00026113"/>
    <w:rsid w:val="00031E5D"/>
    <w:rsid w:val="00033A36"/>
    <w:rsid w:val="00040EF3"/>
    <w:rsid w:val="00045ACE"/>
    <w:rsid w:val="00050502"/>
    <w:rsid w:val="0007160C"/>
    <w:rsid w:val="00071EC4"/>
    <w:rsid w:val="000C79DA"/>
    <w:rsid w:val="000D7D8A"/>
    <w:rsid w:val="000E1406"/>
    <w:rsid w:val="000E45B2"/>
    <w:rsid w:val="000E5802"/>
    <w:rsid w:val="001049B2"/>
    <w:rsid w:val="0010652E"/>
    <w:rsid w:val="001119E3"/>
    <w:rsid w:val="00122414"/>
    <w:rsid w:val="00124B3B"/>
    <w:rsid w:val="001515D5"/>
    <w:rsid w:val="001545E1"/>
    <w:rsid w:val="001623C0"/>
    <w:rsid w:val="00192944"/>
    <w:rsid w:val="001A68FC"/>
    <w:rsid w:val="001C3526"/>
    <w:rsid w:val="001D1D46"/>
    <w:rsid w:val="001D7304"/>
    <w:rsid w:val="001E590D"/>
    <w:rsid w:val="001F3910"/>
    <w:rsid w:val="002032AD"/>
    <w:rsid w:val="0020483A"/>
    <w:rsid w:val="00206599"/>
    <w:rsid w:val="002114C2"/>
    <w:rsid w:val="00212078"/>
    <w:rsid w:val="002161F4"/>
    <w:rsid w:val="002421A0"/>
    <w:rsid w:val="00245E07"/>
    <w:rsid w:val="0025529D"/>
    <w:rsid w:val="00265277"/>
    <w:rsid w:val="002659D8"/>
    <w:rsid w:val="00266E84"/>
    <w:rsid w:val="0027041A"/>
    <w:rsid w:val="002771CE"/>
    <w:rsid w:val="00282BF1"/>
    <w:rsid w:val="00293EB5"/>
    <w:rsid w:val="002A788A"/>
    <w:rsid w:val="002B4FDB"/>
    <w:rsid w:val="002B5CAF"/>
    <w:rsid w:val="002C363B"/>
    <w:rsid w:val="002E013B"/>
    <w:rsid w:val="00301242"/>
    <w:rsid w:val="0030142D"/>
    <w:rsid w:val="00304ECE"/>
    <w:rsid w:val="003112EB"/>
    <w:rsid w:val="003117B7"/>
    <w:rsid w:val="0033411A"/>
    <w:rsid w:val="00340FA1"/>
    <w:rsid w:val="00343045"/>
    <w:rsid w:val="003645C6"/>
    <w:rsid w:val="00375EDC"/>
    <w:rsid w:val="003760CD"/>
    <w:rsid w:val="00377D3B"/>
    <w:rsid w:val="00381435"/>
    <w:rsid w:val="00384A0C"/>
    <w:rsid w:val="003C17CF"/>
    <w:rsid w:val="003C5278"/>
    <w:rsid w:val="003E6610"/>
    <w:rsid w:val="003F7D03"/>
    <w:rsid w:val="0040355E"/>
    <w:rsid w:val="00405C1E"/>
    <w:rsid w:val="00412B7F"/>
    <w:rsid w:val="0041548D"/>
    <w:rsid w:val="00417B70"/>
    <w:rsid w:val="00421158"/>
    <w:rsid w:val="00434846"/>
    <w:rsid w:val="0045007B"/>
    <w:rsid w:val="004545D7"/>
    <w:rsid w:val="00461C02"/>
    <w:rsid w:val="00493B9C"/>
    <w:rsid w:val="00496F4E"/>
    <w:rsid w:val="004A0DDE"/>
    <w:rsid w:val="004C1BFB"/>
    <w:rsid w:val="004C4CF0"/>
    <w:rsid w:val="004F0528"/>
    <w:rsid w:val="004F256B"/>
    <w:rsid w:val="00504DC0"/>
    <w:rsid w:val="0050707B"/>
    <w:rsid w:val="00534712"/>
    <w:rsid w:val="005371A1"/>
    <w:rsid w:val="00537B8E"/>
    <w:rsid w:val="0054257B"/>
    <w:rsid w:val="00556D5B"/>
    <w:rsid w:val="00563F0A"/>
    <w:rsid w:val="00586B4D"/>
    <w:rsid w:val="00596148"/>
    <w:rsid w:val="005B4B21"/>
    <w:rsid w:val="005B755F"/>
    <w:rsid w:val="005D477A"/>
    <w:rsid w:val="005E2791"/>
    <w:rsid w:val="005E3766"/>
    <w:rsid w:val="0060746C"/>
    <w:rsid w:val="00612609"/>
    <w:rsid w:val="00613620"/>
    <w:rsid w:val="00624AFA"/>
    <w:rsid w:val="00631219"/>
    <w:rsid w:val="00634F87"/>
    <w:rsid w:val="006361E9"/>
    <w:rsid w:val="006369C2"/>
    <w:rsid w:val="00636D4B"/>
    <w:rsid w:val="00656EDE"/>
    <w:rsid w:val="00660077"/>
    <w:rsid w:val="00665D01"/>
    <w:rsid w:val="00672FD7"/>
    <w:rsid w:val="00682364"/>
    <w:rsid w:val="00684328"/>
    <w:rsid w:val="00691537"/>
    <w:rsid w:val="006A2E55"/>
    <w:rsid w:val="006B5176"/>
    <w:rsid w:val="006B6A92"/>
    <w:rsid w:val="006C35D0"/>
    <w:rsid w:val="006C73EB"/>
    <w:rsid w:val="006F4C60"/>
    <w:rsid w:val="0071628B"/>
    <w:rsid w:val="00716386"/>
    <w:rsid w:val="007335DE"/>
    <w:rsid w:val="0073425A"/>
    <w:rsid w:val="00735049"/>
    <w:rsid w:val="00740C6D"/>
    <w:rsid w:val="00747F4E"/>
    <w:rsid w:val="0075277C"/>
    <w:rsid w:val="00773970"/>
    <w:rsid w:val="00782530"/>
    <w:rsid w:val="007837AE"/>
    <w:rsid w:val="007A068B"/>
    <w:rsid w:val="007A075D"/>
    <w:rsid w:val="007A6024"/>
    <w:rsid w:val="007C1B7B"/>
    <w:rsid w:val="007D12B6"/>
    <w:rsid w:val="007D4EE7"/>
    <w:rsid w:val="007F07E7"/>
    <w:rsid w:val="007F4E03"/>
    <w:rsid w:val="00805473"/>
    <w:rsid w:val="008059D9"/>
    <w:rsid w:val="00814CF9"/>
    <w:rsid w:val="00822928"/>
    <w:rsid w:val="0082560B"/>
    <w:rsid w:val="008271AC"/>
    <w:rsid w:val="00832765"/>
    <w:rsid w:val="0086055F"/>
    <w:rsid w:val="00866AA3"/>
    <w:rsid w:val="008777D3"/>
    <w:rsid w:val="00880BA7"/>
    <w:rsid w:val="008B3A9E"/>
    <w:rsid w:val="008C1EB9"/>
    <w:rsid w:val="008D5F90"/>
    <w:rsid w:val="008E1354"/>
    <w:rsid w:val="008E3F97"/>
    <w:rsid w:val="008E4561"/>
    <w:rsid w:val="008F5D11"/>
    <w:rsid w:val="00910D3F"/>
    <w:rsid w:val="00917E6C"/>
    <w:rsid w:val="00920743"/>
    <w:rsid w:val="009214D0"/>
    <w:rsid w:val="00936945"/>
    <w:rsid w:val="009418CF"/>
    <w:rsid w:val="00955801"/>
    <w:rsid w:val="009561CD"/>
    <w:rsid w:val="009676E3"/>
    <w:rsid w:val="009734CB"/>
    <w:rsid w:val="00982FFC"/>
    <w:rsid w:val="00983C4D"/>
    <w:rsid w:val="009905B4"/>
    <w:rsid w:val="009A37B9"/>
    <w:rsid w:val="009B43E6"/>
    <w:rsid w:val="009C1E67"/>
    <w:rsid w:val="009D40C1"/>
    <w:rsid w:val="009E115F"/>
    <w:rsid w:val="009E49F0"/>
    <w:rsid w:val="009F212C"/>
    <w:rsid w:val="009F5569"/>
    <w:rsid w:val="00A038E5"/>
    <w:rsid w:val="00A30281"/>
    <w:rsid w:val="00A342D6"/>
    <w:rsid w:val="00A37561"/>
    <w:rsid w:val="00A41D42"/>
    <w:rsid w:val="00A4312A"/>
    <w:rsid w:val="00A4575A"/>
    <w:rsid w:val="00A4600B"/>
    <w:rsid w:val="00A53858"/>
    <w:rsid w:val="00A54716"/>
    <w:rsid w:val="00A5545F"/>
    <w:rsid w:val="00A56D13"/>
    <w:rsid w:val="00A62989"/>
    <w:rsid w:val="00A65AFE"/>
    <w:rsid w:val="00A712B5"/>
    <w:rsid w:val="00A75997"/>
    <w:rsid w:val="00A91812"/>
    <w:rsid w:val="00A97D22"/>
    <w:rsid w:val="00AA0F70"/>
    <w:rsid w:val="00AA7365"/>
    <w:rsid w:val="00AB012E"/>
    <w:rsid w:val="00AB1252"/>
    <w:rsid w:val="00AC43DB"/>
    <w:rsid w:val="00AD4233"/>
    <w:rsid w:val="00AD4CB3"/>
    <w:rsid w:val="00AF53E2"/>
    <w:rsid w:val="00AF67F1"/>
    <w:rsid w:val="00B00333"/>
    <w:rsid w:val="00B15737"/>
    <w:rsid w:val="00B20355"/>
    <w:rsid w:val="00B42077"/>
    <w:rsid w:val="00B56938"/>
    <w:rsid w:val="00B61593"/>
    <w:rsid w:val="00B63694"/>
    <w:rsid w:val="00B6788E"/>
    <w:rsid w:val="00B734DD"/>
    <w:rsid w:val="00B8097B"/>
    <w:rsid w:val="00B80EDF"/>
    <w:rsid w:val="00B82FA5"/>
    <w:rsid w:val="00B959EC"/>
    <w:rsid w:val="00BA4BDF"/>
    <w:rsid w:val="00BA5E12"/>
    <w:rsid w:val="00BC5F1E"/>
    <w:rsid w:val="00BD12BA"/>
    <w:rsid w:val="00BD5402"/>
    <w:rsid w:val="00BD5F38"/>
    <w:rsid w:val="00BE1C83"/>
    <w:rsid w:val="00BE6668"/>
    <w:rsid w:val="00BE7A02"/>
    <w:rsid w:val="00C0518E"/>
    <w:rsid w:val="00C22245"/>
    <w:rsid w:val="00C23ED3"/>
    <w:rsid w:val="00C33EBE"/>
    <w:rsid w:val="00C36F22"/>
    <w:rsid w:val="00C439E3"/>
    <w:rsid w:val="00C5080C"/>
    <w:rsid w:val="00C94B14"/>
    <w:rsid w:val="00CD3A94"/>
    <w:rsid w:val="00CD6CEF"/>
    <w:rsid w:val="00CF30B8"/>
    <w:rsid w:val="00D002A6"/>
    <w:rsid w:val="00D017AD"/>
    <w:rsid w:val="00D05F17"/>
    <w:rsid w:val="00D10076"/>
    <w:rsid w:val="00D114F0"/>
    <w:rsid w:val="00D14451"/>
    <w:rsid w:val="00D2238F"/>
    <w:rsid w:val="00D35878"/>
    <w:rsid w:val="00D359CD"/>
    <w:rsid w:val="00D4008C"/>
    <w:rsid w:val="00D40AFB"/>
    <w:rsid w:val="00D427EC"/>
    <w:rsid w:val="00D435FA"/>
    <w:rsid w:val="00D46362"/>
    <w:rsid w:val="00D4667C"/>
    <w:rsid w:val="00D47CD3"/>
    <w:rsid w:val="00D5026C"/>
    <w:rsid w:val="00D520D6"/>
    <w:rsid w:val="00D60624"/>
    <w:rsid w:val="00D614C6"/>
    <w:rsid w:val="00D61AEC"/>
    <w:rsid w:val="00D67212"/>
    <w:rsid w:val="00D76410"/>
    <w:rsid w:val="00D776F6"/>
    <w:rsid w:val="00D80784"/>
    <w:rsid w:val="00D97830"/>
    <w:rsid w:val="00DA3A6F"/>
    <w:rsid w:val="00DD10B3"/>
    <w:rsid w:val="00DF0576"/>
    <w:rsid w:val="00DF4833"/>
    <w:rsid w:val="00E07367"/>
    <w:rsid w:val="00E15FB2"/>
    <w:rsid w:val="00E165B9"/>
    <w:rsid w:val="00E2004E"/>
    <w:rsid w:val="00E20CA8"/>
    <w:rsid w:val="00E34C48"/>
    <w:rsid w:val="00E40D5E"/>
    <w:rsid w:val="00E41BE9"/>
    <w:rsid w:val="00E44C22"/>
    <w:rsid w:val="00E56B43"/>
    <w:rsid w:val="00E61998"/>
    <w:rsid w:val="00E76B56"/>
    <w:rsid w:val="00E76FC9"/>
    <w:rsid w:val="00E77F22"/>
    <w:rsid w:val="00E821F1"/>
    <w:rsid w:val="00E82E5F"/>
    <w:rsid w:val="00E879D6"/>
    <w:rsid w:val="00E87CEE"/>
    <w:rsid w:val="00E93B30"/>
    <w:rsid w:val="00EB1417"/>
    <w:rsid w:val="00EE28F7"/>
    <w:rsid w:val="00EF1783"/>
    <w:rsid w:val="00EF3A24"/>
    <w:rsid w:val="00EF48AC"/>
    <w:rsid w:val="00EF4D13"/>
    <w:rsid w:val="00F05AD7"/>
    <w:rsid w:val="00F127E7"/>
    <w:rsid w:val="00F25C5C"/>
    <w:rsid w:val="00F32A24"/>
    <w:rsid w:val="00F52C7E"/>
    <w:rsid w:val="00F555F4"/>
    <w:rsid w:val="00F578B2"/>
    <w:rsid w:val="00F646E1"/>
    <w:rsid w:val="00F701EA"/>
    <w:rsid w:val="00F86796"/>
    <w:rsid w:val="00F90701"/>
    <w:rsid w:val="00F967C7"/>
    <w:rsid w:val="00FA2EE3"/>
    <w:rsid w:val="00FA3C01"/>
    <w:rsid w:val="00FC2BC2"/>
    <w:rsid w:val="00FD0212"/>
    <w:rsid w:val="00FD4354"/>
    <w:rsid w:val="00FD6C74"/>
    <w:rsid w:val="00FE2279"/>
    <w:rsid w:val="00FF02E9"/>
    <w:rsid w:val="00FF04B2"/>
    <w:rsid w:val="00FF6D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FE21"/>
  <w15:chartTrackingRefBased/>
  <w15:docId w15:val="{E68A662D-7CA0-42A2-9455-4B8C57C5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BC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FC2BC2"/>
    <w:rPr>
      <w:color w:val="0563C1" w:themeColor="hyperlink"/>
      <w:u w:val="single"/>
    </w:rPr>
  </w:style>
  <w:style w:type="paragraph" w:styleId="ListParagraph">
    <w:name w:val="List Paragraph"/>
    <w:basedOn w:val="Normal"/>
    <w:uiPriority w:val="34"/>
    <w:qFormat/>
    <w:rsid w:val="00586B4D"/>
    <w:pPr>
      <w:ind w:left="720"/>
      <w:contextualSpacing/>
    </w:pPr>
  </w:style>
  <w:style w:type="character" w:customStyle="1" w:styleId="Feloldatlanmegemlts1">
    <w:name w:val="Feloldatlan megemlítés1"/>
    <w:basedOn w:val="DefaultParagraphFont"/>
    <w:uiPriority w:val="99"/>
    <w:semiHidden/>
    <w:unhideWhenUsed/>
    <w:rsid w:val="00EF3A24"/>
    <w:rPr>
      <w:color w:val="605E5C"/>
      <w:shd w:val="clear" w:color="auto" w:fill="E1DFDD"/>
    </w:rPr>
  </w:style>
  <w:style w:type="paragraph" w:customStyle="1" w:styleId="Default">
    <w:name w:val="Default"/>
    <w:rsid w:val="007A075D"/>
    <w:pPr>
      <w:autoSpaceDE w:val="0"/>
      <w:autoSpaceDN w:val="0"/>
      <w:adjustRightInd w:val="0"/>
      <w:spacing w:after="0" w:line="240" w:lineRule="auto"/>
    </w:pPr>
    <w:rPr>
      <w:rFonts w:ascii="Cambria" w:eastAsia="Calibri" w:hAnsi="Cambria" w:cs="Cambria"/>
      <w:color w:val="000000"/>
      <w:sz w:val="24"/>
      <w:szCs w:val="24"/>
    </w:rPr>
  </w:style>
  <w:style w:type="paragraph" w:styleId="FootnoteText">
    <w:name w:val="footnote text"/>
    <w:basedOn w:val="Normal"/>
    <w:link w:val="FootnoteTextChar"/>
    <w:uiPriority w:val="99"/>
    <w:semiHidden/>
    <w:unhideWhenUsed/>
    <w:rsid w:val="00936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945"/>
    <w:rPr>
      <w:sz w:val="20"/>
      <w:szCs w:val="20"/>
    </w:rPr>
  </w:style>
  <w:style w:type="character" w:styleId="FootnoteReference">
    <w:name w:val="footnote reference"/>
    <w:aliases w:val="Footnote symbol,SUPERS,Footnote Reference Number,Fußnote,Footnote,Ref,de nota al pie,Style 4,(NECG) Footnote Reference,fr,Footnote number,Odwołanie przypisu dolnego2,Odwołanie przypisu dolnego1,Odwołanie przypisu1,FZ,Times 10 Point"/>
    <w:basedOn w:val="DefaultParagraphFont"/>
    <w:link w:val="FootnotesymbolCarZchn"/>
    <w:unhideWhenUsed/>
    <w:qFormat/>
    <w:rsid w:val="00936945"/>
    <w:rPr>
      <w:vertAlign w:val="superscript"/>
    </w:rPr>
  </w:style>
  <w:style w:type="table" w:customStyle="1" w:styleId="Rcsostblzat1">
    <w:name w:val="Rácsos táblázat1"/>
    <w:basedOn w:val="TableNormal"/>
    <w:next w:val="TableGrid"/>
    <w:uiPriority w:val="39"/>
    <w:rsid w:val="0059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771CE"/>
    <w:rPr>
      <w:i/>
      <w:iCs/>
    </w:rPr>
  </w:style>
  <w:style w:type="paragraph" w:styleId="BalloonText">
    <w:name w:val="Balloon Text"/>
    <w:basedOn w:val="Normal"/>
    <w:link w:val="BalloonTextChar"/>
    <w:uiPriority w:val="99"/>
    <w:semiHidden/>
    <w:unhideWhenUsed/>
    <w:rsid w:val="0069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37"/>
    <w:rPr>
      <w:rFonts w:ascii="Segoe UI" w:hAnsi="Segoe UI" w:cs="Segoe UI"/>
      <w:sz w:val="18"/>
      <w:szCs w:val="18"/>
    </w:rPr>
  </w:style>
  <w:style w:type="character" w:styleId="CommentReference">
    <w:name w:val="annotation reference"/>
    <w:basedOn w:val="DefaultParagraphFont"/>
    <w:uiPriority w:val="99"/>
    <w:semiHidden/>
    <w:unhideWhenUsed/>
    <w:rsid w:val="00613620"/>
    <w:rPr>
      <w:sz w:val="16"/>
      <w:szCs w:val="16"/>
    </w:rPr>
  </w:style>
  <w:style w:type="paragraph" w:styleId="CommentText">
    <w:name w:val="annotation text"/>
    <w:basedOn w:val="Normal"/>
    <w:link w:val="CommentTextChar"/>
    <w:uiPriority w:val="99"/>
    <w:unhideWhenUsed/>
    <w:rsid w:val="00613620"/>
    <w:pPr>
      <w:spacing w:line="240" w:lineRule="auto"/>
    </w:pPr>
    <w:rPr>
      <w:sz w:val="20"/>
      <w:szCs w:val="20"/>
    </w:rPr>
  </w:style>
  <w:style w:type="character" w:customStyle="1" w:styleId="CommentTextChar">
    <w:name w:val="Comment Text Char"/>
    <w:basedOn w:val="DefaultParagraphFont"/>
    <w:link w:val="CommentText"/>
    <w:uiPriority w:val="99"/>
    <w:rsid w:val="00613620"/>
    <w:rPr>
      <w:sz w:val="20"/>
      <w:szCs w:val="20"/>
    </w:rPr>
  </w:style>
  <w:style w:type="paragraph" w:styleId="CommentSubject">
    <w:name w:val="annotation subject"/>
    <w:basedOn w:val="CommentText"/>
    <w:next w:val="CommentText"/>
    <w:link w:val="CommentSubjectChar"/>
    <w:uiPriority w:val="99"/>
    <w:semiHidden/>
    <w:unhideWhenUsed/>
    <w:rsid w:val="00613620"/>
    <w:rPr>
      <w:b/>
      <w:bCs/>
    </w:rPr>
  </w:style>
  <w:style w:type="character" w:customStyle="1" w:styleId="CommentSubjectChar">
    <w:name w:val="Comment Subject Char"/>
    <w:basedOn w:val="CommentTextChar"/>
    <w:link w:val="CommentSubject"/>
    <w:uiPriority w:val="99"/>
    <w:semiHidden/>
    <w:rsid w:val="00613620"/>
    <w:rPr>
      <w:b/>
      <w:bCs/>
      <w:sz w:val="20"/>
      <w:szCs w:val="20"/>
    </w:rPr>
  </w:style>
  <w:style w:type="character" w:styleId="FollowedHyperlink">
    <w:name w:val="FollowedHyperlink"/>
    <w:basedOn w:val="DefaultParagraphFont"/>
    <w:uiPriority w:val="99"/>
    <w:semiHidden/>
    <w:unhideWhenUsed/>
    <w:rsid w:val="001119E3"/>
    <w:rPr>
      <w:color w:val="954F72" w:themeColor="followedHyperlink"/>
      <w:u w:val="single"/>
    </w:rPr>
  </w:style>
  <w:style w:type="paragraph" w:styleId="Revision">
    <w:name w:val="Revision"/>
    <w:hidden/>
    <w:uiPriority w:val="99"/>
    <w:semiHidden/>
    <w:rsid w:val="002B4FDB"/>
    <w:pPr>
      <w:spacing w:after="0" w:line="240" w:lineRule="auto"/>
    </w:pPr>
  </w:style>
  <w:style w:type="character" w:customStyle="1" w:styleId="UnresolvedMention1">
    <w:name w:val="Unresolved Mention1"/>
    <w:basedOn w:val="DefaultParagraphFont"/>
    <w:uiPriority w:val="99"/>
    <w:semiHidden/>
    <w:unhideWhenUsed/>
    <w:rsid w:val="00EF48AC"/>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FD4354"/>
    <w:pPr>
      <w:spacing w:after="0" w:line="240" w:lineRule="auto"/>
      <w:ind w:left="284" w:hanging="284"/>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226">
      <w:bodyDiv w:val="1"/>
      <w:marLeft w:val="0"/>
      <w:marRight w:val="0"/>
      <w:marTop w:val="0"/>
      <w:marBottom w:val="0"/>
      <w:divBdr>
        <w:top w:val="none" w:sz="0" w:space="0" w:color="auto"/>
        <w:left w:val="none" w:sz="0" w:space="0" w:color="auto"/>
        <w:bottom w:val="none" w:sz="0" w:space="0" w:color="auto"/>
        <w:right w:val="none" w:sz="0" w:space="0" w:color="auto"/>
      </w:divBdr>
    </w:div>
    <w:div w:id="97525283">
      <w:bodyDiv w:val="1"/>
      <w:marLeft w:val="0"/>
      <w:marRight w:val="0"/>
      <w:marTop w:val="0"/>
      <w:marBottom w:val="0"/>
      <w:divBdr>
        <w:top w:val="none" w:sz="0" w:space="0" w:color="auto"/>
        <w:left w:val="none" w:sz="0" w:space="0" w:color="auto"/>
        <w:bottom w:val="none" w:sz="0" w:space="0" w:color="auto"/>
        <w:right w:val="none" w:sz="0" w:space="0" w:color="auto"/>
      </w:divBdr>
    </w:div>
    <w:div w:id="250621342">
      <w:bodyDiv w:val="1"/>
      <w:marLeft w:val="0"/>
      <w:marRight w:val="0"/>
      <w:marTop w:val="0"/>
      <w:marBottom w:val="0"/>
      <w:divBdr>
        <w:top w:val="none" w:sz="0" w:space="0" w:color="auto"/>
        <w:left w:val="none" w:sz="0" w:space="0" w:color="auto"/>
        <w:bottom w:val="none" w:sz="0" w:space="0" w:color="auto"/>
        <w:right w:val="none" w:sz="0" w:space="0" w:color="auto"/>
      </w:divBdr>
    </w:div>
    <w:div w:id="348408009">
      <w:bodyDiv w:val="1"/>
      <w:marLeft w:val="0"/>
      <w:marRight w:val="0"/>
      <w:marTop w:val="0"/>
      <w:marBottom w:val="0"/>
      <w:divBdr>
        <w:top w:val="none" w:sz="0" w:space="0" w:color="auto"/>
        <w:left w:val="none" w:sz="0" w:space="0" w:color="auto"/>
        <w:bottom w:val="none" w:sz="0" w:space="0" w:color="auto"/>
        <w:right w:val="none" w:sz="0" w:space="0" w:color="auto"/>
      </w:divBdr>
    </w:div>
    <w:div w:id="597913381">
      <w:bodyDiv w:val="1"/>
      <w:marLeft w:val="0"/>
      <w:marRight w:val="0"/>
      <w:marTop w:val="0"/>
      <w:marBottom w:val="0"/>
      <w:divBdr>
        <w:top w:val="none" w:sz="0" w:space="0" w:color="auto"/>
        <w:left w:val="none" w:sz="0" w:space="0" w:color="auto"/>
        <w:bottom w:val="none" w:sz="0" w:space="0" w:color="auto"/>
        <w:right w:val="none" w:sz="0" w:space="0" w:color="auto"/>
      </w:divBdr>
    </w:div>
    <w:div w:id="686760637">
      <w:bodyDiv w:val="1"/>
      <w:marLeft w:val="0"/>
      <w:marRight w:val="0"/>
      <w:marTop w:val="0"/>
      <w:marBottom w:val="0"/>
      <w:divBdr>
        <w:top w:val="none" w:sz="0" w:space="0" w:color="auto"/>
        <w:left w:val="none" w:sz="0" w:space="0" w:color="auto"/>
        <w:bottom w:val="none" w:sz="0" w:space="0" w:color="auto"/>
        <w:right w:val="none" w:sz="0" w:space="0" w:color="auto"/>
      </w:divBdr>
      <w:divsChild>
        <w:div w:id="258103240">
          <w:marLeft w:val="0"/>
          <w:marRight w:val="0"/>
          <w:marTop w:val="0"/>
          <w:marBottom w:val="0"/>
          <w:divBdr>
            <w:top w:val="none" w:sz="0" w:space="0" w:color="auto"/>
            <w:left w:val="none" w:sz="0" w:space="0" w:color="auto"/>
            <w:bottom w:val="none" w:sz="0" w:space="0" w:color="auto"/>
            <w:right w:val="none" w:sz="0" w:space="0" w:color="auto"/>
          </w:divBdr>
        </w:div>
        <w:div w:id="1689257148">
          <w:marLeft w:val="0"/>
          <w:marRight w:val="0"/>
          <w:marTop w:val="0"/>
          <w:marBottom w:val="0"/>
          <w:divBdr>
            <w:top w:val="none" w:sz="0" w:space="0" w:color="auto"/>
            <w:left w:val="none" w:sz="0" w:space="0" w:color="auto"/>
            <w:bottom w:val="none" w:sz="0" w:space="0" w:color="auto"/>
            <w:right w:val="none" w:sz="0" w:space="0" w:color="auto"/>
          </w:divBdr>
          <w:divsChild>
            <w:div w:id="6624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909">
      <w:bodyDiv w:val="1"/>
      <w:marLeft w:val="0"/>
      <w:marRight w:val="0"/>
      <w:marTop w:val="0"/>
      <w:marBottom w:val="0"/>
      <w:divBdr>
        <w:top w:val="none" w:sz="0" w:space="0" w:color="auto"/>
        <w:left w:val="none" w:sz="0" w:space="0" w:color="auto"/>
        <w:bottom w:val="none" w:sz="0" w:space="0" w:color="auto"/>
        <w:right w:val="none" w:sz="0" w:space="0" w:color="auto"/>
      </w:divBdr>
    </w:div>
    <w:div w:id="1662077139">
      <w:bodyDiv w:val="1"/>
      <w:marLeft w:val="0"/>
      <w:marRight w:val="0"/>
      <w:marTop w:val="0"/>
      <w:marBottom w:val="0"/>
      <w:divBdr>
        <w:top w:val="none" w:sz="0" w:space="0" w:color="auto"/>
        <w:left w:val="none" w:sz="0" w:space="0" w:color="auto"/>
        <w:bottom w:val="none" w:sz="0" w:space="0" w:color="auto"/>
        <w:right w:val="none" w:sz="0" w:space="0" w:color="auto"/>
      </w:divBdr>
    </w:div>
    <w:div w:id="1748267847">
      <w:bodyDiv w:val="1"/>
      <w:marLeft w:val="0"/>
      <w:marRight w:val="0"/>
      <w:marTop w:val="0"/>
      <w:marBottom w:val="0"/>
      <w:divBdr>
        <w:top w:val="none" w:sz="0" w:space="0" w:color="auto"/>
        <w:left w:val="none" w:sz="0" w:space="0" w:color="auto"/>
        <w:bottom w:val="none" w:sz="0" w:space="0" w:color="auto"/>
        <w:right w:val="none" w:sz="0" w:space="0" w:color="auto"/>
      </w:divBdr>
    </w:div>
    <w:div w:id="17735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ncz.katalin@gtk.uni-pannon.hu"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iask.hu/hu/kutatoi-palyazati-felhivas-semmi-kulonos-hatarido-2022-aprilis-27/" TargetMode="External"/><Relationship Id="rId3" Type="http://schemas.openxmlformats.org/officeDocument/2006/relationships/styles" Target="styles.xml"/><Relationship Id="rId21" Type="http://schemas.openxmlformats.org/officeDocument/2006/relationships/hyperlink" Target="https://doi.org/10.14267/963-0606-24-0"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youtube.com/playlist?list=PL8h5UM-YpfS4uOqf18d469ILSPBFsJbfl"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doi.org/10.1080/00343404.2019.1654603" TargetMode="External"/><Relationship Id="rId29" Type="http://schemas.openxmlformats.org/officeDocument/2006/relationships/hyperlink" Target="https://www.turistamagazin.hu/hir/a-kektura-legszebb-szakaszan-bakonynana-es-tes-kozo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jstor.org/stable/26328304"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doi.org/10.1016/j.socec.2009.02.011" TargetMode="External"/><Relationship Id="rId28" Type="http://schemas.openxmlformats.org/officeDocument/2006/relationships/hyperlink" Target="https://www.ksh.hu/apps/hntr.main?p_lang=HU" TargetMode="Externa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dx.doi.org/10.15196/RS02107" TargetMode="External"/><Relationship Id="rId27" Type="http://schemas.openxmlformats.org/officeDocument/2006/relationships/hyperlink" Target="http://www.ksh.h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sh.hu/apps/hntr.main?p_lang=H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181FF0-E932-4706-809B-9ED173EA250B}"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hu-HU"/>
        </a:p>
      </dgm:t>
    </dgm:pt>
    <dgm:pt modelId="{1D66E57A-16AD-47EA-B394-EFFD54D08C28}">
      <dgm:prSet phldrT="[Szöveg]" custT="1"/>
      <dgm:spPr>
        <a:xfrm>
          <a:off x="184308" y="89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statisztikai adatelemzés &amp; dokumentumelemzés</a:t>
          </a:r>
        </a:p>
      </dgm:t>
    </dgm:pt>
    <dgm:pt modelId="{76E413D9-14A1-4A6C-A7DF-61D0FDE1C034}" type="parTrans" cxnId="{FBA204A5-ED41-4D23-BB5A-7411CB214A55}">
      <dgm:prSet/>
      <dgm:spPr/>
      <dgm:t>
        <a:bodyPr/>
        <a:lstStyle/>
        <a:p>
          <a:endParaRPr lang="hu-HU"/>
        </a:p>
      </dgm:t>
    </dgm:pt>
    <dgm:pt modelId="{63D3BA0A-658A-46CC-BDF5-F1D32BFCCB8F}" type="sibTrans" cxnId="{FBA204A5-ED41-4D23-BB5A-7411CB214A55}">
      <dgm:prSet/>
      <dgm:spPr/>
      <dgm:t>
        <a:bodyPr/>
        <a:lstStyle/>
        <a:p>
          <a:endParaRPr lang="hu-HU"/>
        </a:p>
      </dgm:t>
    </dgm:pt>
    <dgm:pt modelId="{90A12E20-F3B1-4237-B42C-6BDBEC6EF265}">
      <dgm:prSet phldrT="[Szöveg]" custT="1"/>
      <dgm:spPr>
        <a:xfrm>
          <a:off x="1943546" y="89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digitális tartalmak elemzése </a:t>
          </a:r>
        </a:p>
      </dgm:t>
    </dgm:pt>
    <dgm:pt modelId="{A730F52B-43E8-4EC0-88FB-55B8B6B4001C}" type="parTrans" cxnId="{98F2C47D-36F0-4A70-8966-2C371EB7457E}">
      <dgm:prSet/>
      <dgm:spPr/>
      <dgm:t>
        <a:bodyPr/>
        <a:lstStyle/>
        <a:p>
          <a:endParaRPr lang="hu-HU"/>
        </a:p>
      </dgm:t>
    </dgm:pt>
    <dgm:pt modelId="{3F693D95-6C0C-464B-873B-532128508A06}" type="sibTrans" cxnId="{98F2C47D-36F0-4A70-8966-2C371EB7457E}">
      <dgm:prSet/>
      <dgm:spPr/>
      <dgm:t>
        <a:bodyPr/>
        <a:lstStyle/>
        <a:p>
          <a:endParaRPr lang="hu-HU"/>
        </a:p>
      </dgm:t>
    </dgm:pt>
    <dgm:pt modelId="{149DF929-0929-4FD9-AFEB-833E2EB30700}">
      <dgm:prSet phldrT="[Szöveg]" custT="1"/>
      <dgm:spPr>
        <a:xfrm>
          <a:off x="3702784" y="89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települési és természeti bejárások</a:t>
          </a:r>
        </a:p>
      </dgm:t>
    </dgm:pt>
    <dgm:pt modelId="{0CD46119-6BD9-415C-826C-7379ACE5067C}" type="parTrans" cxnId="{3E91F3D4-3B1C-463F-A7BF-52CAF5654B98}">
      <dgm:prSet/>
      <dgm:spPr/>
      <dgm:t>
        <a:bodyPr/>
        <a:lstStyle/>
        <a:p>
          <a:endParaRPr lang="hu-HU"/>
        </a:p>
      </dgm:t>
    </dgm:pt>
    <dgm:pt modelId="{5FFB130B-C773-4B6A-969E-5E63C635DDB7}" type="sibTrans" cxnId="{3E91F3D4-3B1C-463F-A7BF-52CAF5654B98}">
      <dgm:prSet/>
      <dgm:spPr/>
      <dgm:t>
        <a:bodyPr/>
        <a:lstStyle/>
        <a:p>
          <a:endParaRPr lang="hu-HU"/>
        </a:p>
      </dgm:t>
    </dgm:pt>
    <dgm:pt modelId="{07B21607-1C7D-41EF-A3E1-74607A720D01}">
      <dgm:prSet phldrT="[Szöveg]" custT="1"/>
      <dgm:spPr>
        <a:xfrm>
          <a:off x="184308" y="1120407"/>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strukturált interjúk</a:t>
          </a:r>
        </a:p>
      </dgm:t>
    </dgm:pt>
    <dgm:pt modelId="{F7D4CDF1-D55D-44D6-B108-7448D664B807}" type="parTrans" cxnId="{0B4D1356-7459-42D3-9929-1F090976705D}">
      <dgm:prSet/>
      <dgm:spPr/>
      <dgm:t>
        <a:bodyPr/>
        <a:lstStyle/>
        <a:p>
          <a:endParaRPr lang="hu-HU"/>
        </a:p>
      </dgm:t>
    </dgm:pt>
    <dgm:pt modelId="{2B7287C5-C4C3-4443-8142-5138FD01F87B}" type="sibTrans" cxnId="{0B4D1356-7459-42D3-9929-1F090976705D}">
      <dgm:prSet/>
      <dgm:spPr/>
      <dgm:t>
        <a:bodyPr/>
        <a:lstStyle/>
        <a:p>
          <a:endParaRPr lang="hu-HU"/>
        </a:p>
      </dgm:t>
    </dgm:pt>
    <dgm:pt modelId="{5F75EB6C-69F8-4730-905C-D32A95FABEBB}">
      <dgm:prSet phldrT="[Szöveg]" custT="1"/>
      <dgm:spPr>
        <a:xfrm>
          <a:off x="1943546" y="1120407"/>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videóra rögzített életút-interjúk </a:t>
          </a:r>
        </a:p>
      </dgm:t>
    </dgm:pt>
    <dgm:pt modelId="{BA1B939A-3611-43F2-93AE-50DA2F3B0A41}" type="parTrans" cxnId="{54F9227F-18F9-4591-8BD7-DB3B41B27730}">
      <dgm:prSet/>
      <dgm:spPr/>
      <dgm:t>
        <a:bodyPr/>
        <a:lstStyle/>
        <a:p>
          <a:endParaRPr lang="hu-HU"/>
        </a:p>
      </dgm:t>
    </dgm:pt>
    <dgm:pt modelId="{ABE27B98-F40A-4B6D-B54A-27180F00BBF2}" type="sibTrans" cxnId="{54F9227F-18F9-4591-8BD7-DB3B41B27730}">
      <dgm:prSet/>
      <dgm:spPr/>
      <dgm:t>
        <a:bodyPr/>
        <a:lstStyle/>
        <a:p>
          <a:endParaRPr lang="hu-HU"/>
        </a:p>
      </dgm:t>
    </dgm:pt>
    <dgm:pt modelId="{47848B77-88EB-4E27-9AC0-B0001C0EEE85}">
      <dgm:prSet phldrT="[Szöveg]" custT="1"/>
      <dgm:spPr>
        <a:xfrm>
          <a:off x="3702784" y="1120407"/>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próbavásárlások </a:t>
          </a:r>
        </a:p>
      </dgm:t>
    </dgm:pt>
    <dgm:pt modelId="{2FA11C6D-DEA5-4311-8DDA-E8795E5608E2}" type="parTrans" cxnId="{96AFBE52-FCE9-4D21-A552-E86CFFA0074A}">
      <dgm:prSet/>
      <dgm:spPr/>
      <dgm:t>
        <a:bodyPr/>
        <a:lstStyle/>
        <a:p>
          <a:endParaRPr lang="hu-HU"/>
        </a:p>
      </dgm:t>
    </dgm:pt>
    <dgm:pt modelId="{6FD9BC63-0CD7-434A-B38D-8FA29FA3D75F}" type="sibTrans" cxnId="{96AFBE52-FCE9-4D21-A552-E86CFFA0074A}">
      <dgm:prSet/>
      <dgm:spPr/>
      <dgm:t>
        <a:bodyPr/>
        <a:lstStyle/>
        <a:p>
          <a:endParaRPr lang="hu-HU"/>
        </a:p>
      </dgm:t>
    </dgm:pt>
    <dgm:pt modelId="{C9A02AE0-AA56-4C21-8E94-264D49E5DCB7}">
      <dgm:prSet phldrT="[Szöveg]" custT="1"/>
      <dgm:spPr>
        <a:xfrm>
          <a:off x="1943546" y="223992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mentális térképezés </a:t>
          </a:r>
        </a:p>
      </dgm:t>
    </dgm:pt>
    <dgm:pt modelId="{1644062D-4D8A-4200-A3A4-3D6CD6632F76}" type="parTrans" cxnId="{B22416DA-071E-4258-AF1E-7FC4495806FC}">
      <dgm:prSet/>
      <dgm:spPr/>
      <dgm:t>
        <a:bodyPr/>
        <a:lstStyle/>
        <a:p>
          <a:endParaRPr lang="hu-HU"/>
        </a:p>
      </dgm:t>
    </dgm:pt>
    <dgm:pt modelId="{EE4E9F88-99EB-4476-852D-A8A23F252F04}" type="sibTrans" cxnId="{B22416DA-071E-4258-AF1E-7FC4495806FC}">
      <dgm:prSet/>
      <dgm:spPr/>
      <dgm:t>
        <a:bodyPr/>
        <a:lstStyle/>
        <a:p>
          <a:endParaRPr lang="hu-HU"/>
        </a:p>
      </dgm:t>
    </dgm:pt>
    <dgm:pt modelId="{585353AE-EA33-4F55-B8CB-9775F519B947}" type="pres">
      <dgm:prSet presAssocID="{F0181FF0-E932-4706-809B-9ED173EA250B}" presName="diagram" presStyleCnt="0">
        <dgm:presLayoutVars>
          <dgm:dir/>
          <dgm:resizeHandles val="exact"/>
        </dgm:presLayoutVars>
      </dgm:prSet>
      <dgm:spPr/>
    </dgm:pt>
    <dgm:pt modelId="{65E5F3FA-6020-4CE0-A337-8645F4C30AEE}" type="pres">
      <dgm:prSet presAssocID="{1D66E57A-16AD-47EA-B394-EFFD54D08C28}" presName="node" presStyleLbl="node1" presStyleIdx="0" presStyleCnt="7">
        <dgm:presLayoutVars>
          <dgm:bulletEnabled val="1"/>
        </dgm:presLayoutVars>
      </dgm:prSet>
      <dgm:spPr/>
    </dgm:pt>
    <dgm:pt modelId="{2D9974E0-AD05-4B45-81A5-9EC02E967C23}" type="pres">
      <dgm:prSet presAssocID="{63D3BA0A-658A-46CC-BDF5-F1D32BFCCB8F}" presName="sibTrans" presStyleCnt="0"/>
      <dgm:spPr/>
    </dgm:pt>
    <dgm:pt modelId="{19E807D6-5238-40D5-A250-53FD0FC91767}" type="pres">
      <dgm:prSet presAssocID="{90A12E20-F3B1-4237-B42C-6BDBEC6EF265}" presName="node" presStyleLbl="node1" presStyleIdx="1" presStyleCnt="7">
        <dgm:presLayoutVars>
          <dgm:bulletEnabled val="1"/>
        </dgm:presLayoutVars>
      </dgm:prSet>
      <dgm:spPr/>
    </dgm:pt>
    <dgm:pt modelId="{10B8C359-2EC2-44E2-8FAC-4FD443F284F0}" type="pres">
      <dgm:prSet presAssocID="{3F693D95-6C0C-464B-873B-532128508A06}" presName="sibTrans" presStyleCnt="0"/>
      <dgm:spPr/>
    </dgm:pt>
    <dgm:pt modelId="{37C9FC10-DF51-41F3-9831-A92A9F01990D}" type="pres">
      <dgm:prSet presAssocID="{149DF929-0929-4FD9-AFEB-833E2EB30700}" presName="node" presStyleLbl="node1" presStyleIdx="2" presStyleCnt="7">
        <dgm:presLayoutVars>
          <dgm:bulletEnabled val="1"/>
        </dgm:presLayoutVars>
      </dgm:prSet>
      <dgm:spPr/>
    </dgm:pt>
    <dgm:pt modelId="{C9E2BFCB-A019-42E1-8A8B-15CCBDB9D1F9}" type="pres">
      <dgm:prSet presAssocID="{5FFB130B-C773-4B6A-969E-5E63C635DDB7}" presName="sibTrans" presStyleCnt="0"/>
      <dgm:spPr/>
    </dgm:pt>
    <dgm:pt modelId="{2175496F-2B24-40AA-82D8-4F5A6B6E6ABF}" type="pres">
      <dgm:prSet presAssocID="{07B21607-1C7D-41EF-A3E1-74607A720D01}" presName="node" presStyleLbl="node1" presStyleIdx="3" presStyleCnt="7">
        <dgm:presLayoutVars>
          <dgm:bulletEnabled val="1"/>
        </dgm:presLayoutVars>
      </dgm:prSet>
      <dgm:spPr/>
    </dgm:pt>
    <dgm:pt modelId="{9A034EF0-781D-45D1-B331-CAC3AA450863}" type="pres">
      <dgm:prSet presAssocID="{2B7287C5-C4C3-4443-8142-5138FD01F87B}" presName="sibTrans" presStyleCnt="0"/>
      <dgm:spPr/>
    </dgm:pt>
    <dgm:pt modelId="{3839FCB1-9CE5-4AE7-B663-86104E0A6821}" type="pres">
      <dgm:prSet presAssocID="{5F75EB6C-69F8-4730-905C-D32A95FABEBB}" presName="node" presStyleLbl="node1" presStyleIdx="4" presStyleCnt="7">
        <dgm:presLayoutVars>
          <dgm:bulletEnabled val="1"/>
        </dgm:presLayoutVars>
      </dgm:prSet>
      <dgm:spPr/>
    </dgm:pt>
    <dgm:pt modelId="{3F66855D-9259-44CE-9696-20B14878253D}" type="pres">
      <dgm:prSet presAssocID="{ABE27B98-F40A-4B6D-B54A-27180F00BBF2}" presName="sibTrans" presStyleCnt="0"/>
      <dgm:spPr/>
    </dgm:pt>
    <dgm:pt modelId="{E62D9050-28AD-44FA-93D7-D98809D78B4A}" type="pres">
      <dgm:prSet presAssocID="{47848B77-88EB-4E27-9AC0-B0001C0EEE85}" presName="node" presStyleLbl="node1" presStyleIdx="5" presStyleCnt="7">
        <dgm:presLayoutVars>
          <dgm:bulletEnabled val="1"/>
        </dgm:presLayoutVars>
      </dgm:prSet>
      <dgm:spPr/>
    </dgm:pt>
    <dgm:pt modelId="{5DB9C40A-FFA7-4EA1-9650-7DCB256C7B8B}" type="pres">
      <dgm:prSet presAssocID="{6FD9BC63-0CD7-434A-B38D-8FA29FA3D75F}" presName="sibTrans" presStyleCnt="0"/>
      <dgm:spPr/>
    </dgm:pt>
    <dgm:pt modelId="{0E83D9ED-AA99-419B-A730-50519C4FBF7B}" type="pres">
      <dgm:prSet presAssocID="{C9A02AE0-AA56-4C21-8E94-264D49E5DCB7}" presName="node" presStyleLbl="node1" presStyleIdx="6" presStyleCnt="7">
        <dgm:presLayoutVars>
          <dgm:bulletEnabled val="1"/>
        </dgm:presLayoutVars>
      </dgm:prSet>
      <dgm:spPr/>
    </dgm:pt>
  </dgm:ptLst>
  <dgm:cxnLst>
    <dgm:cxn modelId="{6440B805-E658-4321-BC5D-B276E7F4EFB0}" type="presOf" srcId="{149DF929-0929-4FD9-AFEB-833E2EB30700}" destId="{37C9FC10-DF51-41F3-9831-A92A9F01990D}" srcOrd="0" destOrd="0" presId="urn:microsoft.com/office/officeart/2005/8/layout/default"/>
    <dgm:cxn modelId="{5CEFFC21-0462-4D96-9176-D96CE584445D}" type="presOf" srcId="{F0181FF0-E932-4706-809B-9ED173EA250B}" destId="{585353AE-EA33-4F55-B8CB-9775F519B947}" srcOrd="0" destOrd="0" presId="urn:microsoft.com/office/officeart/2005/8/layout/default"/>
    <dgm:cxn modelId="{07D9C033-ABF1-4237-9D86-F3C86E187A02}" type="presOf" srcId="{07B21607-1C7D-41EF-A3E1-74607A720D01}" destId="{2175496F-2B24-40AA-82D8-4F5A6B6E6ABF}" srcOrd="0" destOrd="0" presId="urn:microsoft.com/office/officeart/2005/8/layout/default"/>
    <dgm:cxn modelId="{96AFBE52-FCE9-4D21-A552-E86CFFA0074A}" srcId="{F0181FF0-E932-4706-809B-9ED173EA250B}" destId="{47848B77-88EB-4E27-9AC0-B0001C0EEE85}" srcOrd="5" destOrd="0" parTransId="{2FA11C6D-DEA5-4311-8DDA-E8795E5608E2}" sibTransId="{6FD9BC63-0CD7-434A-B38D-8FA29FA3D75F}"/>
    <dgm:cxn modelId="{5EDF1654-8C6B-427E-8E32-E81C5F63A78E}" type="presOf" srcId="{1D66E57A-16AD-47EA-B394-EFFD54D08C28}" destId="{65E5F3FA-6020-4CE0-A337-8645F4C30AEE}" srcOrd="0" destOrd="0" presId="urn:microsoft.com/office/officeart/2005/8/layout/default"/>
    <dgm:cxn modelId="{54B4E955-72FA-4E4D-9227-C68CF97FC2F9}" type="presOf" srcId="{90A12E20-F3B1-4237-B42C-6BDBEC6EF265}" destId="{19E807D6-5238-40D5-A250-53FD0FC91767}" srcOrd="0" destOrd="0" presId="urn:microsoft.com/office/officeart/2005/8/layout/default"/>
    <dgm:cxn modelId="{0B4D1356-7459-42D3-9929-1F090976705D}" srcId="{F0181FF0-E932-4706-809B-9ED173EA250B}" destId="{07B21607-1C7D-41EF-A3E1-74607A720D01}" srcOrd="3" destOrd="0" parTransId="{F7D4CDF1-D55D-44D6-B108-7448D664B807}" sibTransId="{2B7287C5-C4C3-4443-8142-5138FD01F87B}"/>
    <dgm:cxn modelId="{12622876-7603-4779-B086-302E245A5C4E}" type="presOf" srcId="{5F75EB6C-69F8-4730-905C-D32A95FABEBB}" destId="{3839FCB1-9CE5-4AE7-B663-86104E0A6821}" srcOrd="0" destOrd="0" presId="urn:microsoft.com/office/officeart/2005/8/layout/default"/>
    <dgm:cxn modelId="{98F2C47D-36F0-4A70-8966-2C371EB7457E}" srcId="{F0181FF0-E932-4706-809B-9ED173EA250B}" destId="{90A12E20-F3B1-4237-B42C-6BDBEC6EF265}" srcOrd="1" destOrd="0" parTransId="{A730F52B-43E8-4EC0-88FB-55B8B6B4001C}" sibTransId="{3F693D95-6C0C-464B-873B-532128508A06}"/>
    <dgm:cxn modelId="{54F9227F-18F9-4591-8BD7-DB3B41B27730}" srcId="{F0181FF0-E932-4706-809B-9ED173EA250B}" destId="{5F75EB6C-69F8-4730-905C-D32A95FABEBB}" srcOrd="4" destOrd="0" parTransId="{BA1B939A-3611-43F2-93AE-50DA2F3B0A41}" sibTransId="{ABE27B98-F40A-4B6D-B54A-27180F00BBF2}"/>
    <dgm:cxn modelId="{FBA204A5-ED41-4D23-BB5A-7411CB214A55}" srcId="{F0181FF0-E932-4706-809B-9ED173EA250B}" destId="{1D66E57A-16AD-47EA-B394-EFFD54D08C28}" srcOrd="0" destOrd="0" parTransId="{76E413D9-14A1-4A6C-A7DF-61D0FDE1C034}" sibTransId="{63D3BA0A-658A-46CC-BDF5-F1D32BFCCB8F}"/>
    <dgm:cxn modelId="{A38034CF-04E2-4DF3-A8D8-6EC58F6D0B7A}" type="presOf" srcId="{47848B77-88EB-4E27-9AC0-B0001C0EEE85}" destId="{E62D9050-28AD-44FA-93D7-D98809D78B4A}" srcOrd="0" destOrd="0" presId="urn:microsoft.com/office/officeart/2005/8/layout/default"/>
    <dgm:cxn modelId="{3E91F3D4-3B1C-463F-A7BF-52CAF5654B98}" srcId="{F0181FF0-E932-4706-809B-9ED173EA250B}" destId="{149DF929-0929-4FD9-AFEB-833E2EB30700}" srcOrd="2" destOrd="0" parTransId="{0CD46119-6BD9-415C-826C-7379ACE5067C}" sibTransId="{5FFB130B-C773-4B6A-969E-5E63C635DDB7}"/>
    <dgm:cxn modelId="{B22416DA-071E-4258-AF1E-7FC4495806FC}" srcId="{F0181FF0-E932-4706-809B-9ED173EA250B}" destId="{C9A02AE0-AA56-4C21-8E94-264D49E5DCB7}" srcOrd="6" destOrd="0" parTransId="{1644062D-4D8A-4200-A3A4-3D6CD6632F76}" sibTransId="{EE4E9F88-99EB-4476-852D-A8A23F252F04}"/>
    <dgm:cxn modelId="{72E06CF1-39C6-462A-AD30-E4D7959383D0}" type="presOf" srcId="{C9A02AE0-AA56-4C21-8E94-264D49E5DCB7}" destId="{0E83D9ED-AA99-419B-A730-50519C4FBF7B}" srcOrd="0" destOrd="0" presId="urn:microsoft.com/office/officeart/2005/8/layout/default"/>
    <dgm:cxn modelId="{8DBACE8B-56D3-4343-BAB0-9BD0FE7F114A}" type="presParOf" srcId="{585353AE-EA33-4F55-B8CB-9775F519B947}" destId="{65E5F3FA-6020-4CE0-A337-8645F4C30AEE}" srcOrd="0" destOrd="0" presId="urn:microsoft.com/office/officeart/2005/8/layout/default"/>
    <dgm:cxn modelId="{0EF3E96F-086D-4363-93F2-2B3E5B64C4D9}" type="presParOf" srcId="{585353AE-EA33-4F55-B8CB-9775F519B947}" destId="{2D9974E0-AD05-4B45-81A5-9EC02E967C23}" srcOrd="1" destOrd="0" presId="urn:microsoft.com/office/officeart/2005/8/layout/default"/>
    <dgm:cxn modelId="{63401F84-CCFB-45BD-84AD-00F23CD89634}" type="presParOf" srcId="{585353AE-EA33-4F55-B8CB-9775F519B947}" destId="{19E807D6-5238-40D5-A250-53FD0FC91767}" srcOrd="2" destOrd="0" presId="urn:microsoft.com/office/officeart/2005/8/layout/default"/>
    <dgm:cxn modelId="{E4F5675D-8B47-4371-BBF3-BB37C05A7DBF}" type="presParOf" srcId="{585353AE-EA33-4F55-B8CB-9775F519B947}" destId="{10B8C359-2EC2-44E2-8FAC-4FD443F284F0}" srcOrd="3" destOrd="0" presId="urn:microsoft.com/office/officeart/2005/8/layout/default"/>
    <dgm:cxn modelId="{B5F8B62B-D48F-4E4E-9F51-11F84C37A099}" type="presParOf" srcId="{585353AE-EA33-4F55-B8CB-9775F519B947}" destId="{37C9FC10-DF51-41F3-9831-A92A9F01990D}" srcOrd="4" destOrd="0" presId="urn:microsoft.com/office/officeart/2005/8/layout/default"/>
    <dgm:cxn modelId="{FBBB7166-A8CC-40C0-96A3-A9CC04AD2932}" type="presParOf" srcId="{585353AE-EA33-4F55-B8CB-9775F519B947}" destId="{C9E2BFCB-A019-42E1-8A8B-15CCBDB9D1F9}" srcOrd="5" destOrd="0" presId="urn:microsoft.com/office/officeart/2005/8/layout/default"/>
    <dgm:cxn modelId="{0DCAC67B-B3BC-4720-AB71-F20195A73B87}" type="presParOf" srcId="{585353AE-EA33-4F55-B8CB-9775F519B947}" destId="{2175496F-2B24-40AA-82D8-4F5A6B6E6ABF}" srcOrd="6" destOrd="0" presId="urn:microsoft.com/office/officeart/2005/8/layout/default"/>
    <dgm:cxn modelId="{F43FE6C7-DF46-41FA-B1E9-8E3F6FE0802F}" type="presParOf" srcId="{585353AE-EA33-4F55-B8CB-9775F519B947}" destId="{9A034EF0-781D-45D1-B331-CAC3AA450863}" srcOrd="7" destOrd="0" presId="urn:microsoft.com/office/officeart/2005/8/layout/default"/>
    <dgm:cxn modelId="{32630990-8E41-4BE5-BEB2-367B30E87F7C}" type="presParOf" srcId="{585353AE-EA33-4F55-B8CB-9775F519B947}" destId="{3839FCB1-9CE5-4AE7-B663-86104E0A6821}" srcOrd="8" destOrd="0" presId="urn:microsoft.com/office/officeart/2005/8/layout/default"/>
    <dgm:cxn modelId="{793F5789-4DD1-433D-B545-D28A31934E13}" type="presParOf" srcId="{585353AE-EA33-4F55-B8CB-9775F519B947}" destId="{3F66855D-9259-44CE-9696-20B14878253D}" srcOrd="9" destOrd="0" presId="urn:microsoft.com/office/officeart/2005/8/layout/default"/>
    <dgm:cxn modelId="{866DF453-2810-4B5A-87EF-A515A26D9EA0}" type="presParOf" srcId="{585353AE-EA33-4F55-B8CB-9775F519B947}" destId="{E62D9050-28AD-44FA-93D7-D98809D78B4A}" srcOrd="10" destOrd="0" presId="urn:microsoft.com/office/officeart/2005/8/layout/default"/>
    <dgm:cxn modelId="{A100FF76-0032-4FD3-8D7A-46490F63B1CF}" type="presParOf" srcId="{585353AE-EA33-4F55-B8CB-9775F519B947}" destId="{5DB9C40A-FFA7-4EA1-9650-7DCB256C7B8B}" srcOrd="11" destOrd="0" presId="urn:microsoft.com/office/officeart/2005/8/layout/default"/>
    <dgm:cxn modelId="{45350600-5A63-411B-B3DE-4D1289FF9771}" type="presParOf" srcId="{585353AE-EA33-4F55-B8CB-9775F519B947}" destId="{0E83D9ED-AA99-419B-A730-50519C4FBF7B}" srcOrd="12"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99CB42-9FC4-4156-A16A-27771C4191A8}"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hu-HU"/>
        </a:p>
      </dgm:t>
    </dgm:pt>
    <dgm:pt modelId="{3E76156E-0700-456B-9780-2AD2F3147552}">
      <dgm:prSet phldrT="[Szöveg]" custT="1"/>
      <dgm:spPr>
        <a:xfrm>
          <a:off x="0" y="1562"/>
          <a:ext cx="1975104" cy="103137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vonzó lakóhely</a:t>
          </a:r>
        </a:p>
      </dgm:t>
    </dgm:pt>
    <dgm:pt modelId="{84DF6D07-98F3-4148-A537-117D7396F952}" type="parTrans" cxnId="{EDF5CCB5-3987-494E-BEFD-05F758732CF7}">
      <dgm:prSet/>
      <dgm:spPr/>
      <dgm:t>
        <a:bodyPr/>
        <a:lstStyle/>
        <a:p>
          <a:endParaRPr lang="hu-HU" sz="1200"/>
        </a:p>
      </dgm:t>
    </dgm:pt>
    <dgm:pt modelId="{EE2B83EE-26E1-4453-AF25-DF2D71AC60B5}" type="sibTrans" cxnId="{EDF5CCB5-3987-494E-BEFD-05F758732CF7}">
      <dgm:prSet/>
      <dgm:spPr/>
      <dgm:t>
        <a:bodyPr/>
        <a:lstStyle/>
        <a:p>
          <a:endParaRPr lang="hu-HU" sz="1200"/>
        </a:p>
      </dgm:t>
    </dgm:pt>
    <dgm:pt modelId="{E9396B52-84AB-434C-917B-086F2166D2A9}">
      <dgm:prSet custT="1"/>
      <dgm:spPr>
        <a:xfrm>
          <a:off x="0" y="1084510"/>
          <a:ext cx="1975104" cy="103137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(aktív, zöld) úti cél</a:t>
          </a:r>
        </a:p>
      </dgm:t>
    </dgm:pt>
    <dgm:pt modelId="{EC47F670-4C63-4D48-9EDA-926353901C5A}" type="parTrans" cxnId="{4A30F076-A919-4505-B7F9-AD2B07E93BA9}">
      <dgm:prSet/>
      <dgm:spPr/>
      <dgm:t>
        <a:bodyPr/>
        <a:lstStyle/>
        <a:p>
          <a:endParaRPr lang="hu-HU" sz="1200"/>
        </a:p>
      </dgm:t>
    </dgm:pt>
    <dgm:pt modelId="{E549568C-BF20-4577-AB8F-921CACDF552D}" type="sibTrans" cxnId="{4A30F076-A919-4505-B7F9-AD2B07E93BA9}">
      <dgm:prSet/>
      <dgm:spPr/>
      <dgm:t>
        <a:bodyPr/>
        <a:lstStyle/>
        <a:p>
          <a:endParaRPr lang="hu-HU" sz="1200"/>
        </a:p>
      </dgm:t>
    </dgm:pt>
    <dgm:pt modelId="{ED10D0FF-E203-4043-A4DA-91CD53682D20}">
      <dgm:prSet custT="1"/>
      <dgm:spPr>
        <a:xfrm>
          <a:off x="0" y="2167458"/>
          <a:ext cx="1975104" cy="103137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lakóhely és desztináció kategória együtt</a:t>
          </a:r>
        </a:p>
      </dgm:t>
    </dgm:pt>
    <dgm:pt modelId="{F04E7ADB-59A6-4586-8F39-C7C8621398DE}" type="parTrans" cxnId="{9ACF7728-30C9-45AA-99DF-64ED21AE192E}">
      <dgm:prSet/>
      <dgm:spPr/>
      <dgm:t>
        <a:bodyPr/>
        <a:lstStyle/>
        <a:p>
          <a:endParaRPr lang="hu-HU" sz="1200"/>
        </a:p>
      </dgm:t>
    </dgm:pt>
    <dgm:pt modelId="{055A50A6-064D-4443-9D61-CB351028FD82}" type="sibTrans" cxnId="{9ACF7728-30C9-45AA-99DF-64ED21AE192E}">
      <dgm:prSet/>
      <dgm:spPr/>
      <dgm:t>
        <a:bodyPr/>
        <a:lstStyle/>
        <a:p>
          <a:endParaRPr lang="hu-HU" sz="1200"/>
        </a:p>
      </dgm:t>
    </dgm:pt>
    <dgm:pt modelId="{9A48D9A2-514A-45D6-9A38-F8FBF3126DD9}">
      <dgm:prSet phldrT="[Szöveg]" custT="1"/>
      <dgm:spPr>
        <a:xfrm rot="5400000">
          <a:off x="3318200" y="-1238395"/>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zárt, zsáktelepülés, „mennyei” fekvés, </a:t>
          </a:r>
        </a:p>
      </dgm:t>
    </dgm:pt>
    <dgm:pt modelId="{39D7D4C5-ED67-455B-BAE4-CA8542449218}" type="parTrans" cxnId="{2BBC1D42-7B5A-483C-BDC8-9B9679F5CACE}">
      <dgm:prSet/>
      <dgm:spPr/>
      <dgm:t>
        <a:bodyPr/>
        <a:lstStyle/>
        <a:p>
          <a:endParaRPr lang="hu-HU" sz="1200"/>
        </a:p>
      </dgm:t>
    </dgm:pt>
    <dgm:pt modelId="{143C9F38-9C22-448C-AADE-CE6A5D133D3B}" type="sibTrans" cxnId="{2BBC1D42-7B5A-483C-BDC8-9B9679F5CACE}">
      <dgm:prSet/>
      <dgm:spPr/>
      <dgm:t>
        <a:bodyPr/>
        <a:lstStyle/>
        <a:p>
          <a:endParaRPr lang="hu-HU" sz="1200"/>
        </a:p>
      </dgm:t>
    </dgm:pt>
    <dgm:pt modelId="{DF3CAFF2-58EC-4D31-9432-98EF40A6256F}">
      <dgm:prSet phldrT="[Szöveg]" custT="1"/>
      <dgm:spPr>
        <a:xfrm rot="5400000">
          <a:off x="3318200" y="-1238395"/>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család, emberek, otthon, „minden”, </a:t>
          </a:r>
        </a:p>
      </dgm:t>
    </dgm:pt>
    <dgm:pt modelId="{20D8A904-5F17-49DC-8166-3070A694C588}" type="parTrans" cxnId="{46B1AF7A-E17B-4682-BEF2-B3978FD818B8}">
      <dgm:prSet/>
      <dgm:spPr/>
      <dgm:t>
        <a:bodyPr/>
        <a:lstStyle/>
        <a:p>
          <a:endParaRPr lang="hu-HU" sz="1200"/>
        </a:p>
      </dgm:t>
    </dgm:pt>
    <dgm:pt modelId="{4D3D1B1E-0A10-4AEF-90BD-F4FDA92D0170}" type="sibTrans" cxnId="{46B1AF7A-E17B-4682-BEF2-B3978FD818B8}">
      <dgm:prSet/>
      <dgm:spPr/>
      <dgm:t>
        <a:bodyPr/>
        <a:lstStyle/>
        <a:p>
          <a:endParaRPr lang="hu-HU" sz="1200"/>
        </a:p>
      </dgm:t>
    </dgm:pt>
    <dgm:pt modelId="{D2378D7F-87BC-41DD-BE7B-F1E9AB4A9C2F}">
      <dgm:prSet phldrT="[Szöveg]" custT="1"/>
      <dgm:spPr>
        <a:xfrm rot="5400000">
          <a:off x="3318200" y="-1238395"/>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különös energia; csend, nyugalom</a:t>
          </a:r>
        </a:p>
      </dgm:t>
    </dgm:pt>
    <dgm:pt modelId="{89256D79-4AB4-4C59-8A86-A00794B5C6E1}" type="parTrans" cxnId="{95AFF26A-B5C6-468F-8AD3-0788092D2E87}">
      <dgm:prSet/>
      <dgm:spPr/>
      <dgm:t>
        <a:bodyPr/>
        <a:lstStyle/>
        <a:p>
          <a:endParaRPr lang="hu-HU" sz="1200"/>
        </a:p>
      </dgm:t>
    </dgm:pt>
    <dgm:pt modelId="{9F28AA35-C5CC-409D-A013-031FEE3C08BA}" type="sibTrans" cxnId="{95AFF26A-B5C6-468F-8AD3-0788092D2E87}">
      <dgm:prSet/>
      <dgm:spPr/>
      <dgm:t>
        <a:bodyPr/>
        <a:lstStyle/>
        <a:p>
          <a:endParaRPr lang="hu-HU" sz="1200"/>
        </a:p>
      </dgm:t>
    </dgm:pt>
    <dgm:pt modelId="{7D7AC474-5E7D-40D3-8063-28F2E3EC1846}">
      <dgm:prSet custT="1"/>
      <dgm:spPr>
        <a:xfrm rot="5400000">
          <a:off x="3318200" y="-155448"/>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Országos Kéktúra útvonal, aktív turista jelenlét, kirándulás, túrázás</a:t>
          </a:r>
        </a:p>
      </dgm:t>
    </dgm:pt>
    <dgm:pt modelId="{02656003-B781-43DC-98CE-563042C6D392}" type="parTrans" cxnId="{5AC5CECA-1F7B-4007-A893-AC83B6AAFD4E}">
      <dgm:prSet/>
      <dgm:spPr/>
      <dgm:t>
        <a:bodyPr/>
        <a:lstStyle/>
        <a:p>
          <a:endParaRPr lang="hu-HU" sz="1200"/>
        </a:p>
      </dgm:t>
    </dgm:pt>
    <dgm:pt modelId="{EEA240EB-A114-457C-9DDE-7077AF81C409}" type="sibTrans" cxnId="{5AC5CECA-1F7B-4007-A893-AC83B6AAFD4E}">
      <dgm:prSet/>
      <dgm:spPr/>
      <dgm:t>
        <a:bodyPr/>
        <a:lstStyle/>
        <a:p>
          <a:endParaRPr lang="hu-HU" sz="1200"/>
        </a:p>
      </dgm:t>
    </dgm:pt>
    <dgm:pt modelId="{D4DC5031-99AC-430D-BCC2-7C7895162330}">
      <dgm:prSet custT="1"/>
      <dgm:spPr>
        <a:xfrm rot="5400000">
          <a:off x="3318200" y="-155448"/>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zarándokhely, szakrális, Szent-kút</a:t>
          </a:r>
        </a:p>
      </dgm:t>
    </dgm:pt>
    <dgm:pt modelId="{283F6E56-D21E-4A4D-B706-75908098830D}" type="parTrans" cxnId="{134D6AD8-1C3B-4DD1-AC51-650A575D57C3}">
      <dgm:prSet/>
      <dgm:spPr/>
      <dgm:t>
        <a:bodyPr/>
        <a:lstStyle/>
        <a:p>
          <a:endParaRPr lang="hu-HU" sz="1200"/>
        </a:p>
      </dgm:t>
    </dgm:pt>
    <dgm:pt modelId="{6565BDEE-2110-43CC-91E9-F236E4677179}" type="sibTrans" cxnId="{134D6AD8-1C3B-4DD1-AC51-650A575D57C3}">
      <dgm:prSet/>
      <dgm:spPr/>
      <dgm:t>
        <a:bodyPr/>
        <a:lstStyle/>
        <a:p>
          <a:endParaRPr lang="hu-HU" sz="1200"/>
        </a:p>
      </dgm:t>
    </dgm:pt>
    <dgm:pt modelId="{86C8A7B6-7F1F-4DF5-A697-8FE7D97D9695}">
      <dgm:prSet custT="1"/>
      <dgm:spPr>
        <a:xfrm rot="5400000">
          <a:off x="3318200" y="-155448"/>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Bodzaház, bodza, bodzások, falusi turizmus</a:t>
          </a:r>
        </a:p>
      </dgm:t>
    </dgm:pt>
    <dgm:pt modelId="{9A38ADB8-1620-4D0C-9139-DB8F8D33A8A9}" type="parTrans" cxnId="{54C257F6-5EF0-451D-AE2B-D73CD117C1D8}">
      <dgm:prSet/>
      <dgm:spPr/>
      <dgm:t>
        <a:bodyPr/>
        <a:lstStyle/>
        <a:p>
          <a:endParaRPr lang="hu-HU" sz="1200"/>
        </a:p>
      </dgm:t>
    </dgm:pt>
    <dgm:pt modelId="{A27E5F97-F7ED-44AB-97E4-8861CCB7EA5B}" type="sibTrans" cxnId="{54C257F6-5EF0-451D-AE2B-D73CD117C1D8}">
      <dgm:prSet/>
      <dgm:spPr/>
      <dgm:t>
        <a:bodyPr/>
        <a:lstStyle/>
        <a:p>
          <a:endParaRPr lang="hu-HU" sz="1200"/>
        </a:p>
      </dgm:t>
    </dgm:pt>
    <dgm:pt modelId="{12D1DE66-BA5F-4718-A1BA-85C6A2265CFF}">
      <dgm:prSet custT="1"/>
      <dgm:spPr>
        <a:xfrm rot="5400000">
          <a:off x="3318200" y="927499"/>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rendezvények, programok; </a:t>
          </a:r>
        </a:p>
      </dgm:t>
    </dgm:pt>
    <dgm:pt modelId="{4652800F-8DF5-4AE4-8D79-D57669CBB79C}" type="parTrans" cxnId="{A4686D09-E33E-4CEF-9CDE-49650AAAAEB8}">
      <dgm:prSet/>
      <dgm:spPr/>
      <dgm:t>
        <a:bodyPr/>
        <a:lstStyle/>
        <a:p>
          <a:endParaRPr lang="hu-HU" sz="1200"/>
        </a:p>
      </dgm:t>
    </dgm:pt>
    <dgm:pt modelId="{5490F3A2-1345-497E-87C1-EB70AB5D6128}" type="sibTrans" cxnId="{A4686D09-E33E-4CEF-9CDE-49650AAAAEB8}">
      <dgm:prSet/>
      <dgm:spPr/>
      <dgm:t>
        <a:bodyPr/>
        <a:lstStyle/>
        <a:p>
          <a:endParaRPr lang="hu-HU" sz="1200"/>
        </a:p>
      </dgm:t>
    </dgm:pt>
    <dgm:pt modelId="{10F1FE20-CC97-416A-8C45-6C9FCBAE2753}">
      <dgm:prSet custT="1"/>
      <dgm:spPr>
        <a:xfrm rot="5400000">
          <a:off x="3318200" y="927499"/>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festői környezet; erdő, patak; táj; jó illat; zöld;</a:t>
          </a:r>
        </a:p>
      </dgm:t>
    </dgm:pt>
    <dgm:pt modelId="{769693A0-CFDF-47D6-87E3-A9473612BB4E}" type="parTrans" cxnId="{C3C78CAA-35CE-446E-9582-5BAD876EA12F}">
      <dgm:prSet/>
      <dgm:spPr/>
      <dgm:t>
        <a:bodyPr/>
        <a:lstStyle/>
        <a:p>
          <a:endParaRPr lang="hu-HU" sz="1200"/>
        </a:p>
      </dgm:t>
    </dgm:pt>
    <dgm:pt modelId="{27D09090-1F97-42AD-A0CB-67F75B594641}" type="sibTrans" cxnId="{C3C78CAA-35CE-446E-9582-5BAD876EA12F}">
      <dgm:prSet/>
      <dgm:spPr/>
      <dgm:t>
        <a:bodyPr/>
        <a:lstStyle/>
        <a:p>
          <a:endParaRPr lang="hu-HU" sz="1200"/>
        </a:p>
      </dgm:t>
    </dgm:pt>
    <dgm:pt modelId="{15E31649-B004-4E7B-90FD-A1924D26D744}">
      <dgm:prSet custT="1"/>
      <dgm:spPr>
        <a:xfrm rot="5400000">
          <a:off x="3318200" y="927499"/>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templom</a:t>
          </a:r>
        </a:p>
      </dgm:t>
    </dgm:pt>
    <dgm:pt modelId="{AD319D1C-280B-41EA-91AE-70097C4187D9}" type="parTrans" cxnId="{116A64B4-CB57-4749-925F-F5B794588137}">
      <dgm:prSet/>
      <dgm:spPr/>
      <dgm:t>
        <a:bodyPr/>
        <a:lstStyle/>
        <a:p>
          <a:endParaRPr lang="hu-HU" sz="1200"/>
        </a:p>
      </dgm:t>
    </dgm:pt>
    <dgm:pt modelId="{69B883FA-621E-4CCB-87BA-76013415EAEE}" type="sibTrans" cxnId="{116A64B4-CB57-4749-925F-F5B794588137}">
      <dgm:prSet/>
      <dgm:spPr/>
      <dgm:t>
        <a:bodyPr/>
        <a:lstStyle/>
        <a:p>
          <a:endParaRPr lang="hu-HU" sz="1200"/>
        </a:p>
      </dgm:t>
    </dgm:pt>
    <dgm:pt modelId="{AA69E81B-FE50-4B32-8D66-1E0DB565BE44}">
      <dgm:prSet phldrT="[Szöveg]" custT="1"/>
      <dgm:spPr>
        <a:xfrm rot="5400000">
          <a:off x="3318200" y="-1238395"/>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buChar char="•"/>
          </a:pPr>
          <a:r>
            <a:rPr lang="hu-H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„összes barátom itt él”, befogadó falu, </a:t>
          </a:r>
        </a:p>
      </dgm:t>
    </dgm:pt>
    <dgm:pt modelId="{AAB6D1EA-3424-4340-8C3F-E3A5BBAB8CF1}" type="parTrans" cxnId="{9D8DC354-EC2F-488D-A041-ED4CE8E5AB55}">
      <dgm:prSet/>
      <dgm:spPr/>
      <dgm:t>
        <a:bodyPr/>
        <a:lstStyle/>
        <a:p>
          <a:endParaRPr lang="hu-HU" sz="1200"/>
        </a:p>
      </dgm:t>
    </dgm:pt>
    <dgm:pt modelId="{2B72BAD5-389F-498E-8FB6-1B9621E34370}" type="sibTrans" cxnId="{9D8DC354-EC2F-488D-A041-ED4CE8E5AB55}">
      <dgm:prSet/>
      <dgm:spPr/>
      <dgm:t>
        <a:bodyPr/>
        <a:lstStyle/>
        <a:p>
          <a:endParaRPr lang="hu-HU" sz="1200"/>
        </a:p>
      </dgm:t>
    </dgm:pt>
    <dgm:pt modelId="{DF821A8C-97FB-4AEA-8537-2BCAE3C10EE1}" type="pres">
      <dgm:prSet presAssocID="{C999CB42-9FC4-4156-A16A-27771C4191A8}" presName="Name0" presStyleCnt="0">
        <dgm:presLayoutVars>
          <dgm:dir/>
          <dgm:animLvl val="lvl"/>
          <dgm:resizeHandles val="exact"/>
        </dgm:presLayoutVars>
      </dgm:prSet>
      <dgm:spPr/>
    </dgm:pt>
    <dgm:pt modelId="{67D5869A-B341-48AE-804D-D2239C828A5C}" type="pres">
      <dgm:prSet presAssocID="{3E76156E-0700-456B-9780-2AD2F3147552}" presName="linNode" presStyleCnt="0"/>
      <dgm:spPr/>
    </dgm:pt>
    <dgm:pt modelId="{7872F445-6B65-4B49-AE4F-D7E6EEA67527}" type="pres">
      <dgm:prSet presAssocID="{3E76156E-0700-456B-9780-2AD2F3147552}" presName="parentText" presStyleLbl="node1" presStyleIdx="0" presStyleCnt="3">
        <dgm:presLayoutVars>
          <dgm:chMax val="1"/>
          <dgm:bulletEnabled val="1"/>
        </dgm:presLayoutVars>
      </dgm:prSet>
      <dgm:spPr>
        <a:prstGeom prst="roundRect">
          <a:avLst/>
        </a:prstGeom>
      </dgm:spPr>
    </dgm:pt>
    <dgm:pt modelId="{2B5AE1EE-1F07-4A01-AB99-4AF557000A20}" type="pres">
      <dgm:prSet presAssocID="{3E76156E-0700-456B-9780-2AD2F3147552}" presName="descendantText" presStyleLbl="alignAccFollowNode1" presStyleIdx="0" presStyleCnt="3">
        <dgm:presLayoutVars>
          <dgm:bulletEnabled val="1"/>
        </dgm:presLayoutVars>
      </dgm:prSet>
      <dgm:spPr>
        <a:prstGeom prst="round2SameRect">
          <a:avLst/>
        </a:prstGeom>
      </dgm:spPr>
    </dgm:pt>
    <dgm:pt modelId="{83F0ACD8-6CA9-4F32-BE7D-FD6D2CF3B747}" type="pres">
      <dgm:prSet presAssocID="{EE2B83EE-26E1-4453-AF25-DF2D71AC60B5}" presName="sp" presStyleCnt="0"/>
      <dgm:spPr/>
    </dgm:pt>
    <dgm:pt modelId="{7F7DB5DB-AC83-4390-8E97-67F5B2B1A8F2}" type="pres">
      <dgm:prSet presAssocID="{E9396B52-84AB-434C-917B-086F2166D2A9}" presName="linNode" presStyleCnt="0"/>
      <dgm:spPr/>
    </dgm:pt>
    <dgm:pt modelId="{F4295055-EE46-4349-BE26-A8AADECB4470}" type="pres">
      <dgm:prSet presAssocID="{E9396B52-84AB-434C-917B-086F2166D2A9}" presName="parentText" presStyleLbl="node1" presStyleIdx="1" presStyleCnt="3">
        <dgm:presLayoutVars>
          <dgm:chMax val="1"/>
          <dgm:bulletEnabled val="1"/>
        </dgm:presLayoutVars>
      </dgm:prSet>
      <dgm:spPr>
        <a:prstGeom prst="roundRect">
          <a:avLst/>
        </a:prstGeom>
      </dgm:spPr>
    </dgm:pt>
    <dgm:pt modelId="{E920B7D4-D11E-4534-9300-2CEF8E0FBC15}" type="pres">
      <dgm:prSet presAssocID="{E9396B52-84AB-434C-917B-086F2166D2A9}" presName="descendantText" presStyleLbl="alignAccFollowNode1" presStyleIdx="1" presStyleCnt="3">
        <dgm:presLayoutVars>
          <dgm:bulletEnabled val="1"/>
        </dgm:presLayoutVars>
      </dgm:prSet>
      <dgm:spPr>
        <a:prstGeom prst="round2SameRect">
          <a:avLst/>
        </a:prstGeom>
      </dgm:spPr>
    </dgm:pt>
    <dgm:pt modelId="{4BD24A93-2091-4D58-8EB8-9059F8579985}" type="pres">
      <dgm:prSet presAssocID="{E549568C-BF20-4577-AB8F-921CACDF552D}" presName="sp" presStyleCnt="0"/>
      <dgm:spPr/>
    </dgm:pt>
    <dgm:pt modelId="{DCBBF2DD-2A39-47A4-A3C3-163ACBCBBF29}" type="pres">
      <dgm:prSet presAssocID="{ED10D0FF-E203-4043-A4DA-91CD53682D20}" presName="linNode" presStyleCnt="0"/>
      <dgm:spPr/>
    </dgm:pt>
    <dgm:pt modelId="{5B789585-539E-404F-A897-9D548444D3CA}" type="pres">
      <dgm:prSet presAssocID="{ED10D0FF-E203-4043-A4DA-91CD53682D20}" presName="parentText" presStyleLbl="node1" presStyleIdx="2" presStyleCnt="3">
        <dgm:presLayoutVars>
          <dgm:chMax val="1"/>
          <dgm:bulletEnabled val="1"/>
        </dgm:presLayoutVars>
      </dgm:prSet>
      <dgm:spPr>
        <a:prstGeom prst="roundRect">
          <a:avLst/>
        </a:prstGeom>
      </dgm:spPr>
    </dgm:pt>
    <dgm:pt modelId="{1E8E85F2-8E7B-4171-A972-2B7650B88F49}" type="pres">
      <dgm:prSet presAssocID="{ED10D0FF-E203-4043-A4DA-91CD53682D20}" presName="descendantText" presStyleLbl="alignAccFollowNode1" presStyleIdx="2" presStyleCnt="3">
        <dgm:presLayoutVars>
          <dgm:bulletEnabled val="1"/>
        </dgm:presLayoutVars>
      </dgm:prSet>
      <dgm:spPr>
        <a:prstGeom prst="round2SameRect">
          <a:avLst/>
        </a:prstGeom>
      </dgm:spPr>
    </dgm:pt>
  </dgm:ptLst>
  <dgm:cxnLst>
    <dgm:cxn modelId="{A4686D09-E33E-4CEF-9CDE-49650AAAAEB8}" srcId="{ED10D0FF-E203-4043-A4DA-91CD53682D20}" destId="{12D1DE66-BA5F-4718-A1BA-85C6A2265CFF}" srcOrd="0" destOrd="0" parTransId="{4652800F-8DF5-4AE4-8D79-D57669CBB79C}" sibTransId="{5490F3A2-1345-497E-87C1-EB70AB5D6128}"/>
    <dgm:cxn modelId="{9ACF7728-30C9-45AA-99DF-64ED21AE192E}" srcId="{C999CB42-9FC4-4156-A16A-27771C4191A8}" destId="{ED10D0FF-E203-4043-A4DA-91CD53682D20}" srcOrd="2" destOrd="0" parTransId="{F04E7ADB-59A6-4586-8F39-C7C8621398DE}" sibTransId="{055A50A6-064D-4443-9D61-CB351028FD82}"/>
    <dgm:cxn modelId="{562C432D-7008-4A17-A368-5EE968E8524A}" type="presOf" srcId="{7D7AC474-5E7D-40D3-8063-28F2E3EC1846}" destId="{E920B7D4-D11E-4534-9300-2CEF8E0FBC15}" srcOrd="0" destOrd="0" presId="urn:microsoft.com/office/officeart/2005/8/layout/vList5"/>
    <dgm:cxn modelId="{4E871F3B-5F00-433B-815B-9C7DB5DE07A3}" type="presOf" srcId="{D2378D7F-87BC-41DD-BE7B-F1E9AB4A9C2F}" destId="{2B5AE1EE-1F07-4A01-AB99-4AF557000A20}" srcOrd="0" destOrd="3" presId="urn:microsoft.com/office/officeart/2005/8/layout/vList5"/>
    <dgm:cxn modelId="{2BBC1D42-7B5A-483C-BDC8-9B9679F5CACE}" srcId="{3E76156E-0700-456B-9780-2AD2F3147552}" destId="{9A48D9A2-514A-45D6-9A38-F8FBF3126DD9}" srcOrd="0" destOrd="0" parTransId="{39D7D4C5-ED67-455B-BAE4-CA8542449218}" sibTransId="{143C9F38-9C22-448C-AADE-CE6A5D133D3B}"/>
    <dgm:cxn modelId="{D70BC964-9FF4-415D-99DE-D1ABE05C2263}" type="presOf" srcId="{12D1DE66-BA5F-4718-A1BA-85C6A2265CFF}" destId="{1E8E85F2-8E7B-4171-A972-2B7650B88F49}" srcOrd="0" destOrd="0" presId="urn:microsoft.com/office/officeart/2005/8/layout/vList5"/>
    <dgm:cxn modelId="{95AFF26A-B5C6-468F-8AD3-0788092D2E87}" srcId="{3E76156E-0700-456B-9780-2AD2F3147552}" destId="{D2378D7F-87BC-41DD-BE7B-F1E9AB4A9C2F}" srcOrd="3" destOrd="0" parTransId="{89256D79-4AB4-4C59-8A86-A00794B5C6E1}" sibTransId="{9F28AA35-C5CC-409D-A013-031FEE3C08BA}"/>
    <dgm:cxn modelId="{68D9D071-5908-43E2-BC90-F2430AEF0FBF}" type="presOf" srcId="{DF3CAFF2-58EC-4D31-9432-98EF40A6256F}" destId="{2B5AE1EE-1F07-4A01-AB99-4AF557000A20}" srcOrd="0" destOrd="1" presId="urn:microsoft.com/office/officeart/2005/8/layout/vList5"/>
    <dgm:cxn modelId="{9D8DC354-EC2F-488D-A041-ED4CE8E5AB55}" srcId="{3E76156E-0700-456B-9780-2AD2F3147552}" destId="{AA69E81B-FE50-4B32-8D66-1E0DB565BE44}" srcOrd="2" destOrd="0" parTransId="{AAB6D1EA-3424-4340-8C3F-E3A5BBAB8CF1}" sibTransId="{2B72BAD5-389F-498E-8FB6-1B9621E34370}"/>
    <dgm:cxn modelId="{4A30F076-A919-4505-B7F9-AD2B07E93BA9}" srcId="{C999CB42-9FC4-4156-A16A-27771C4191A8}" destId="{E9396B52-84AB-434C-917B-086F2166D2A9}" srcOrd="1" destOrd="0" parTransId="{EC47F670-4C63-4D48-9EDA-926353901C5A}" sibTransId="{E549568C-BF20-4577-AB8F-921CACDF552D}"/>
    <dgm:cxn modelId="{94927E59-2DB6-4A2D-9DD1-CFEA12FA18FE}" type="presOf" srcId="{E9396B52-84AB-434C-917B-086F2166D2A9}" destId="{F4295055-EE46-4349-BE26-A8AADECB4470}" srcOrd="0" destOrd="0" presId="urn:microsoft.com/office/officeart/2005/8/layout/vList5"/>
    <dgm:cxn modelId="{46B1AF7A-E17B-4682-BEF2-B3978FD818B8}" srcId="{3E76156E-0700-456B-9780-2AD2F3147552}" destId="{DF3CAFF2-58EC-4D31-9432-98EF40A6256F}" srcOrd="1" destOrd="0" parTransId="{20D8A904-5F17-49DC-8166-3070A694C588}" sibTransId="{4D3D1B1E-0A10-4AEF-90BD-F4FDA92D0170}"/>
    <dgm:cxn modelId="{7C169F88-07D3-46FB-BA0F-F6E2B8F2348D}" type="presOf" srcId="{10F1FE20-CC97-416A-8C45-6C9FCBAE2753}" destId="{1E8E85F2-8E7B-4171-A972-2B7650B88F49}" srcOrd="0" destOrd="1" presId="urn:microsoft.com/office/officeart/2005/8/layout/vList5"/>
    <dgm:cxn modelId="{9163AE94-2DA1-4BAB-8D1D-964125E2EE2C}" type="presOf" srcId="{3E76156E-0700-456B-9780-2AD2F3147552}" destId="{7872F445-6B65-4B49-AE4F-D7E6EEA67527}" srcOrd="0" destOrd="0" presId="urn:microsoft.com/office/officeart/2005/8/layout/vList5"/>
    <dgm:cxn modelId="{6B039299-A96E-42D5-B682-DE28FFFB247B}" type="presOf" srcId="{AA69E81B-FE50-4B32-8D66-1E0DB565BE44}" destId="{2B5AE1EE-1F07-4A01-AB99-4AF557000A20}" srcOrd="0" destOrd="2" presId="urn:microsoft.com/office/officeart/2005/8/layout/vList5"/>
    <dgm:cxn modelId="{C3C78CAA-35CE-446E-9582-5BAD876EA12F}" srcId="{ED10D0FF-E203-4043-A4DA-91CD53682D20}" destId="{10F1FE20-CC97-416A-8C45-6C9FCBAE2753}" srcOrd="1" destOrd="0" parTransId="{769693A0-CFDF-47D6-87E3-A9473612BB4E}" sibTransId="{27D09090-1F97-42AD-A0CB-67F75B594641}"/>
    <dgm:cxn modelId="{BE3976B0-B98B-4DF3-B458-A3F8EEE45F37}" type="presOf" srcId="{86C8A7B6-7F1F-4DF5-A697-8FE7D97D9695}" destId="{E920B7D4-D11E-4534-9300-2CEF8E0FBC15}" srcOrd="0" destOrd="2" presId="urn:microsoft.com/office/officeart/2005/8/layout/vList5"/>
    <dgm:cxn modelId="{FC5F87B1-BD3F-4B90-BE18-E0A1D036BBCE}" type="presOf" srcId="{D4DC5031-99AC-430D-BCC2-7C7895162330}" destId="{E920B7D4-D11E-4534-9300-2CEF8E0FBC15}" srcOrd="0" destOrd="1" presId="urn:microsoft.com/office/officeart/2005/8/layout/vList5"/>
    <dgm:cxn modelId="{116A64B4-CB57-4749-925F-F5B794588137}" srcId="{ED10D0FF-E203-4043-A4DA-91CD53682D20}" destId="{15E31649-B004-4E7B-90FD-A1924D26D744}" srcOrd="2" destOrd="0" parTransId="{AD319D1C-280B-41EA-91AE-70097C4187D9}" sibTransId="{69B883FA-621E-4CCB-87BA-76013415EAEE}"/>
    <dgm:cxn modelId="{EDF5CCB5-3987-494E-BEFD-05F758732CF7}" srcId="{C999CB42-9FC4-4156-A16A-27771C4191A8}" destId="{3E76156E-0700-456B-9780-2AD2F3147552}" srcOrd="0" destOrd="0" parTransId="{84DF6D07-98F3-4148-A537-117D7396F952}" sibTransId="{EE2B83EE-26E1-4453-AF25-DF2D71AC60B5}"/>
    <dgm:cxn modelId="{5AC5CECA-1F7B-4007-A893-AC83B6AAFD4E}" srcId="{E9396B52-84AB-434C-917B-086F2166D2A9}" destId="{7D7AC474-5E7D-40D3-8063-28F2E3EC1846}" srcOrd="0" destOrd="0" parTransId="{02656003-B781-43DC-98CE-563042C6D392}" sibTransId="{EEA240EB-A114-457C-9DDE-7077AF81C409}"/>
    <dgm:cxn modelId="{566929D4-E276-4260-AD34-4A676218CE75}" type="presOf" srcId="{ED10D0FF-E203-4043-A4DA-91CD53682D20}" destId="{5B789585-539E-404F-A897-9D548444D3CA}" srcOrd="0" destOrd="0" presId="urn:microsoft.com/office/officeart/2005/8/layout/vList5"/>
    <dgm:cxn modelId="{134D6AD8-1C3B-4DD1-AC51-650A575D57C3}" srcId="{E9396B52-84AB-434C-917B-086F2166D2A9}" destId="{D4DC5031-99AC-430D-BCC2-7C7895162330}" srcOrd="1" destOrd="0" parTransId="{283F6E56-D21E-4A4D-B706-75908098830D}" sibTransId="{6565BDEE-2110-43CC-91E9-F236E4677179}"/>
    <dgm:cxn modelId="{D11E95E1-151C-49B6-9793-7326FB5C128D}" type="presOf" srcId="{15E31649-B004-4E7B-90FD-A1924D26D744}" destId="{1E8E85F2-8E7B-4171-A972-2B7650B88F49}" srcOrd="0" destOrd="2" presId="urn:microsoft.com/office/officeart/2005/8/layout/vList5"/>
    <dgm:cxn modelId="{47C6CAED-6C7D-40B8-9AFE-B6D5AAC0A54B}" type="presOf" srcId="{C999CB42-9FC4-4156-A16A-27771C4191A8}" destId="{DF821A8C-97FB-4AEA-8537-2BCAE3C10EE1}" srcOrd="0" destOrd="0" presId="urn:microsoft.com/office/officeart/2005/8/layout/vList5"/>
    <dgm:cxn modelId="{54C257F6-5EF0-451D-AE2B-D73CD117C1D8}" srcId="{E9396B52-84AB-434C-917B-086F2166D2A9}" destId="{86C8A7B6-7F1F-4DF5-A697-8FE7D97D9695}" srcOrd="2" destOrd="0" parTransId="{9A38ADB8-1620-4D0C-9139-DB8F8D33A8A9}" sibTransId="{A27E5F97-F7ED-44AB-97E4-8861CCB7EA5B}"/>
    <dgm:cxn modelId="{05DFD2FC-CF68-4F73-ACCB-7883FC947BC6}" type="presOf" srcId="{9A48D9A2-514A-45D6-9A38-F8FBF3126DD9}" destId="{2B5AE1EE-1F07-4A01-AB99-4AF557000A20}" srcOrd="0" destOrd="0" presId="urn:microsoft.com/office/officeart/2005/8/layout/vList5"/>
    <dgm:cxn modelId="{25DAE365-01B3-4DA0-83DD-A51EC6789348}" type="presParOf" srcId="{DF821A8C-97FB-4AEA-8537-2BCAE3C10EE1}" destId="{67D5869A-B341-48AE-804D-D2239C828A5C}" srcOrd="0" destOrd="0" presId="urn:microsoft.com/office/officeart/2005/8/layout/vList5"/>
    <dgm:cxn modelId="{B4E6825D-B36C-4F44-B581-D05A1F40C806}" type="presParOf" srcId="{67D5869A-B341-48AE-804D-D2239C828A5C}" destId="{7872F445-6B65-4B49-AE4F-D7E6EEA67527}" srcOrd="0" destOrd="0" presId="urn:microsoft.com/office/officeart/2005/8/layout/vList5"/>
    <dgm:cxn modelId="{75A832E0-889F-4BD7-813A-A478EC75D029}" type="presParOf" srcId="{67D5869A-B341-48AE-804D-D2239C828A5C}" destId="{2B5AE1EE-1F07-4A01-AB99-4AF557000A20}" srcOrd="1" destOrd="0" presId="urn:microsoft.com/office/officeart/2005/8/layout/vList5"/>
    <dgm:cxn modelId="{EBBB341B-0795-4120-B0C9-638B3D276F05}" type="presParOf" srcId="{DF821A8C-97FB-4AEA-8537-2BCAE3C10EE1}" destId="{83F0ACD8-6CA9-4F32-BE7D-FD6D2CF3B747}" srcOrd="1" destOrd="0" presId="urn:microsoft.com/office/officeart/2005/8/layout/vList5"/>
    <dgm:cxn modelId="{B95601EF-4BED-409C-854A-F9D961ED0107}" type="presParOf" srcId="{DF821A8C-97FB-4AEA-8537-2BCAE3C10EE1}" destId="{7F7DB5DB-AC83-4390-8E97-67F5B2B1A8F2}" srcOrd="2" destOrd="0" presId="urn:microsoft.com/office/officeart/2005/8/layout/vList5"/>
    <dgm:cxn modelId="{2CEDDDD4-B194-43FB-AAB1-E984CF386012}" type="presParOf" srcId="{7F7DB5DB-AC83-4390-8E97-67F5B2B1A8F2}" destId="{F4295055-EE46-4349-BE26-A8AADECB4470}" srcOrd="0" destOrd="0" presId="urn:microsoft.com/office/officeart/2005/8/layout/vList5"/>
    <dgm:cxn modelId="{E8D2D834-8661-45CD-8227-0EE75B868907}" type="presParOf" srcId="{7F7DB5DB-AC83-4390-8E97-67F5B2B1A8F2}" destId="{E920B7D4-D11E-4534-9300-2CEF8E0FBC15}" srcOrd="1" destOrd="0" presId="urn:microsoft.com/office/officeart/2005/8/layout/vList5"/>
    <dgm:cxn modelId="{69ED49EE-5168-441B-9D7C-2FF5072900AA}" type="presParOf" srcId="{DF821A8C-97FB-4AEA-8537-2BCAE3C10EE1}" destId="{4BD24A93-2091-4D58-8EB8-9059F8579985}" srcOrd="3" destOrd="0" presId="urn:microsoft.com/office/officeart/2005/8/layout/vList5"/>
    <dgm:cxn modelId="{A0253AA6-07AE-4FEB-B51C-0B56D2B2283C}" type="presParOf" srcId="{DF821A8C-97FB-4AEA-8537-2BCAE3C10EE1}" destId="{DCBBF2DD-2A39-47A4-A3C3-163ACBCBBF29}" srcOrd="4" destOrd="0" presId="urn:microsoft.com/office/officeart/2005/8/layout/vList5"/>
    <dgm:cxn modelId="{B5841F3E-C8C8-4AB6-B7F7-FB2D2F2EFBBA}" type="presParOf" srcId="{DCBBF2DD-2A39-47A4-A3C3-163ACBCBBF29}" destId="{5B789585-539E-404F-A897-9D548444D3CA}" srcOrd="0" destOrd="0" presId="urn:microsoft.com/office/officeart/2005/8/layout/vList5"/>
    <dgm:cxn modelId="{F7D66FA9-89EC-43A6-809C-8C6263E2FA5A}" type="presParOf" srcId="{DCBBF2DD-2A39-47A4-A3C3-163ACBCBBF29}" destId="{1E8E85F2-8E7B-4171-A972-2B7650B88F49}"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5F3FA-6020-4CE0-A337-8645F4C30AEE}">
      <dsp:nvSpPr>
        <dsp:cNvPr id="0" name=""/>
        <dsp:cNvSpPr/>
      </dsp:nvSpPr>
      <dsp:spPr>
        <a:xfrm>
          <a:off x="184308" y="89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statisztikai adatelemzés &amp; dokumentumelemzés</a:t>
          </a:r>
        </a:p>
      </dsp:txBody>
      <dsp:txXfrm>
        <a:off x="184308" y="892"/>
        <a:ext cx="1599307" cy="959584"/>
      </dsp:txXfrm>
    </dsp:sp>
    <dsp:sp modelId="{19E807D6-5238-40D5-A250-53FD0FC91767}">
      <dsp:nvSpPr>
        <dsp:cNvPr id="0" name=""/>
        <dsp:cNvSpPr/>
      </dsp:nvSpPr>
      <dsp:spPr>
        <a:xfrm>
          <a:off x="1943546" y="89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digitális tartalmak elemzése </a:t>
          </a:r>
        </a:p>
      </dsp:txBody>
      <dsp:txXfrm>
        <a:off x="1943546" y="892"/>
        <a:ext cx="1599307" cy="959584"/>
      </dsp:txXfrm>
    </dsp:sp>
    <dsp:sp modelId="{37C9FC10-DF51-41F3-9831-A92A9F01990D}">
      <dsp:nvSpPr>
        <dsp:cNvPr id="0" name=""/>
        <dsp:cNvSpPr/>
      </dsp:nvSpPr>
      <dsp:spPr>
        <a:xfrm>
          <a:off x="3702784" y="89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települési és természeti bejárások</a:t>
          </a:r>
        </a:p>
      </dsp:txBody>
      <dsp:txXfrm>
        <a:off x="3702784" y="892"/>
        <a:ext cx="1599307" cy="959584"/>
      </dsp:txXfrm>
    </dsp:sp>
    <dsp:sp modelId="{2175496F-2B24-40AA-82D8-4F5A6B6E6ABF}">
      <dsp:nvSpPr>
        <dsp:cNvPr id="0" name=""/>
        <dsp:cNvSpPr/>
      </dsp:nvSpPr>
      <dsp:spPr>
        <a:xfrm>
          <a:off x="184308" y="1120407"/>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strukturált interjúk</a:t>
          </a:r>
        </a:p>
      </dsp:txBody>
      <dsp:txXfrm>
        <a:off x="184308" y="1120407"/>
        <a:ext cx="1599307" cy="959584"/>
      </dsp:txXfrm>
    </dsp:sp>
    <dsp:sp modelId="{3839FCB1-9CE5-4AE7-B663-86104E0A6821}">
      <dsp:nvSpPr>
        <dsp:cNvPr id="0" name=""/>
        <dsp:cNvSpPr/>
      </dsp:nvSpPr>
      <dsp:spPr>
        <a:xfrm>
          <a:off x="1943546" y="1120407"/>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videóra rögzített életút-interjúk </a:t>
          </a:r>
        </a:p>
      </dsp:txBody>
      <dsp:txXfrm>
        <a:off x="1943546" y="1120407"/>
        <a:ext cx="1599307" cy="959584"/>
      </dsp:txXfrm>
    </dsp:sp>
    <dsp:sp modelId="{E62D9050-28AD-44FA-93D7-D98809D78B4A}">
      <dsp:nvSpPr>
        <dsp:cNvPr id="0" name=""/>
        <dsp:cNvSpPr/>
      </dsp:nvSpPr>
      <dsp:spPr>
        <a:xfrm>
          <a:off x="3702784" y="1120407"/>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próbavásárlások </a:t>
          </a:r>
        </a:p>
      </dsp:txBody>
      <dsp:txXfrm>
        <a:off x="3702784" y="1120407"/>
        <a:ext cx="1599307" cy="959584"/>
      </dsp:txXfrm>
    </dsp:sp>
    <dsp:sp modelId="{0E83D9ED-AA99-419B-A730-50519C4FBF7B}">
      <dsp:nvSpPr>
        <dsp:cNvPr id="0" name=""/>
        <dsp:cNvSpPr/>
      </dsp:nvSpPr>
      <dsp:spPr>
        <a:xfrm>
          <a:off x="1943546" y="2239922"/>
          <a:ext cx="1599307" cy="95958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mentális térképezés </a:t>
          </a:r>
        </a:p>
      </dsp:txBody>
      <dsp:txXfrm>
        <a:off x="1943546" y="2239922"/>
        <a:ext cx="1599307" cy="95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AE1EE-1F07-4A01-AB99-4AF557000A20}">
      <dsp:nvSpPr>
        <dsp:cNvPr id="0" name=""/>
        <dsp:cNvSpPr/>
      </dsp:nvSpPr>
      <dsp:spPr>
        <a:xfrm rot="5400000">
          <a:off x="3318200" y="-1238395"/>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zárt, zsáktelepülés, „mennyei” fekvés, </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család, emberek, otthon, „minden”, </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„összes barátom itt él”, befogadó falu, </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különös energia; csend, nyugalom</a:t>
          </a:r>
        </a:p>
      </dsp:txBody>
      <dsp:txXfrm rot="-5400000">
        <a:off x="1975104" y="144979"/>
        <a:ext cx="3471018" cy="744547"/>
      </dsp:txXfrm>
    </dsp:sp>
    <dsp:sp modelId="{7872F445-6B65-4B49-AE4F-D7E6EEA67527}">
      <dsp:nvSpPr>
        <dsp:cNvPr id="0" name=""/>
        <dsp:cNvSpPr/>
      </dsp:nvSpPr>
      <dsp:spPr>
        <a:xfrm>
          <a:off x="0" y="1562"/>
          <a:ext cx="1975104" cy="103137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vonzó lakóhely</a:t>
          </a:r>
        </a:p>
      </dsp:txBody>
      <dsp:txXfrm>
        <a:off x="50348" y="51910"/>
        <a:ext cx="1874408" cy="930682"/>
      </dsp:txXfrm>
    </dsp:sp>
    <dsp:sp modelId="{E920B7D4-D11E-4534-9300-2CEF8E0FBC15}">
      <dsp:nvSpPr>
        <dsp:cNvPr id="0" name=""/>
        <dsp:cNvSpPr/>
      </dsp:nvSpPr>
      <dsp:spPr>
        <a:xfrm rot="5400000">
          <a:off x="3318200" y="-155448"/>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Országos Kéktúra útvonal, aktív turista jelenlét, kirándulás, túrázás</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zarándokhely, szakrális, Szent-kút</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Bodzaház, bodza, bodzások, falusi turizmus</a:t>
          </a:r>
        </a:p>
      </dsp:txBody>
      <dsp:txXfrm rot="-5400000">
        <a:off x="1975104" y="1227926"/>
        <a:ext cx="3471018" cy="744547"/>
      </dsp:txXfrm>
    </dsp:sp>
    <dsp:sp modelId="{F4295055-EE46-4349-BE26-A8AADECB4470}">
      <dsp:nvSpPr>
        <dsp:cNvPr id="0" name=""/>
        <dsp:cNvSpPr/>
      </dsp:nvSpPr>
      <dsp:spPr>
        <a:xfrm>
          <a:off x="0" y="1084510"/>
          <a:ext cx="1975104" cy="103137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(aktív, zöld) úti cél</a:t>
          </a:r>
        </a:p>
      </dsp:txBody>
      <dsp:txXfrm>
        <a:off x="50348" y="1134858"/>
        <a:ext cx="1874408" cy="930682"/>
      </dsp:txXfrm>
    </dsp:sp>
    <dsp:sp modelId="{1E8E85F2-8E7B-4171-A972-2B7650B88F49}">
      <dsp:nvSpPr>
        <dsp:cNvPr id="0" name=""/>
        <dsp:cNvSpPr/>
      </dsp:nvSpPr>
      <dsp:spPr>
        <a:xfrm rot="5400000">
          <a:off x="3318200" y="927499"/>
          <a:ext cx="825103" cy="3511296"/>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rendezvények, programok; </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festői környezet; erdő, patak; táj; jó illat; zöld;</a:t>
          </a:r>
        </a:p>
        <a:p>
          <a:pPr marL="114300" lvl="1" indent="-114300" algn="l" defTabSz="533400">
            <a:lnSpc>
              <a:spcPct val="90000"/>
            </a:lnSpc>
            <a:spcBef>
              <a:spcPct val="0"/>
            </a:spcBef>
            <a:spcAft>
              <a:spcPct val="15000"/>
            </a:spcAft>
            <a:buChar char="•"/>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templom</a:t>
          </a:r>
        </a:p>
      </dsp:txBody>
      <dsp:txXfrm rot="-5400000">
        <a:off x="1975104" y="2310873"/>
        <a:ext cx="3471018" cy="744547"/>
      </dsp:txXfrm>
    </dsp:sp>
    <dsp:sp modelId="{5B789585-539E-404F-A897-9D548444D3CA}">
      <dsp:nvSpPr>
        <dsp:cNvPr id="0" name=""/>
        <dsp:cNvSpPr/>
      </dsp:nvSpPr>
      <dsp:spPr>
        <a:xfrm>
          <a:off x="0" y="2167458"/>
          <a:ext cx="1975104" cy="103137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hu-H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lakóhely és desztináció kategória együtt</a:t>
          </a:r>
        </a:p>
      </dsp:txBody>
      <dsp:txXfrm>
        <a:off x="50348" y="2217806"/>
        <a:ext cx="1874408" cy="9306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9821-5F99-4CC5-AC2D-8BAA15BB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7319</Words>
  <Characters>41719</Characters>
  <Application>Microsoft Office Word</Application>
  <DocSecurity>0</DocSecurity>
  <Lines>347</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Gonda Tibor</dc:creator>
  <cp:keywords/>
  <dc:description/>
  <cp:lastModifiedBy>Mészáros Boglárka Ágnes</cp:lastModifiedBy>
  <cp:revision>3</cp:revision>
  <cp:lastPrinted>2022-12-21T15:44:00Z</cp:lastPrinted>
  <dcterms:created xsi:type="dcterms:W3CDTF">2023-04-25T12:05:00Z</dcterms:created>
  <dcterms:modified xsi:type="dcterms:W3CDTF">2023-04-25T16:54:00Z</dcterms:modified>
</cp:coreProperties>
</file>